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附件</w:t>
      </w:r>
    </w:p>
    <w:p>
      <w:pPr>
        <w:jc w:val="center"/>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贵州省财会领域科研课题管理办法</w:t>
      </w:r>
    </w:p>
    <w:p>
      <w:pPr>
        <w:spacing w:line="590" w:lineRule="exact"/>
        <w:jc w:val="center"/>
        <w:rPr>
          <w:rFonts w:hint="eastAsia" w:ascii="黑体" w:hAnsi="黑体" w:eastAsia="黑体" w:cs="黑体"/>
          <w:kern w:val="44"/>
          <w:sz w:val="32"/>
          <w:szCs w:val="32"/>
          <w:lang w:val="en-US" w:eastAsia="zh-CN" w:bidi="ar-SA"/>
        </w:rPr>
      </w:pPr>
    </w:p>
    <w:p>
      <w:pPr>
        <w:numPr>
          <w:ilvl w:val="0"/>
          <w:numId w:val="1"/>
        </w:numPr>
        <w:spacing w:line="590" w:lineRule="exact"/>
        <w:jc w:val="center"/>
        <w:rPr>
          <w:rFonts w:hint="eastAsia" w:ascii="黑体" w:hAnsi="黑体" w:eastAsia="黑体" w:cs="黑体"/>
          <w:kern w:val="44"/>
          <w:sz w:val="32"/>
          <w:szCs w:val="32"/>
          <w:lang w:val="en-US" w:eastAsia="zh-CN" w:bidi="ar-SA"/>
        </w:rPr>
      </w:pPr>
      <w:r>
        <w:rPr>
          <w:rFonts w:hint="eastAsia" w:ascii="黑体" w:hAnsi="黑体" w:eastAsia="黑体" w:cs="黑体"/>
          <w:kern w:val="44"/>
          <w:sz w:val="32"/>
          <w:szCs w:val="32"/>
          <w:lang w:val="en-US" w:eastAsia="zh-CN" w:bidi="ar-SA"/>
        </w:rPr>
        <w:t>总则</w:t>
      </w:r>
    </w:p>
    <w:p>
      <w:pPr>
        <w:numPr>
          <w:ilvl w:val="-1"/>
          <w:numId w:val="0"/>
        </w:numPr>
        <w:spacing w:line="590" w:lineRule="exact"/>
        <w:jc w:val="both"/>
        <w:rPr>
          <w:rFonts w:hint="eastAsia" w:ascii="黑体" w:hAnsi="黑体" w:eastAsia="黑体" w:cs="黑体"/>
          <w:kern w:val="44"/>
          <w:sz w:val="32"/>
          <w:szCs w:val="32"/>
          <w:lang w:val="en-US" w:eastAsia="zh-CN" w:bidi="ar-SA"/>
        </w:rPr>
      </w:pPr>
    </w:p>
    <w:p>
      <w:pPr>
        <w:spacing w:line="590" w:lineRule="exact"/>
        <w:ind w:firstLine="619" w:firstLineChars="200"/>
        <w:rPr>
          <w:rFonts w:hint="eastAsia" w:ascii="仿宋_GB2312" w:hAnsi="仿宋_GB2312" w:eastAsia="仿宋_GB2312" w:cs="仿宋_GB2312"/>
          <w:i w:val="0"/>
          <w:color w:val="0F1115"/>
          <w:spacing w:val="-6"/>
          <w:kern w:val="2"/>
          <w:sz w:val="32"/>
          <w:szCs w:val="32"/>
          <w:lang w:val="en-US" w:eastAsia="zh-CN" w:bidi="ar-SA"/>
        </w:rPr>
      </w:pPr>
      <w:r>
        <w:rPr>
          <w:rFonts w:hint="eastAsia" w:ascii="仿宋_GB2312" w:hAnsi="仿宋_GB2312" w:eastAsia="仿宋_GB2312" w:cs="仿宋_GB2312"/>
          <w:b/>
          <w:bCs/>
          <w:i w:val="0"/>
          <w:color w:val="0F1115"/>
          <w:spacing w:val="-6"/>
          <w:kern w:val="2"/>
          <w:sz w:val="32"/>
          <w:szCs w:val="32"/>
          <w:lang w:val="en-US" w:eastAsia="zh-CN" w:bidi="ar-SA"/>
        </w:rPr>
        <w:t>第一条</w:t>
      </w:r>
      <w:r>
        <w:rPr>
          <w:rFonts w:hint="eastAsia" w:ascii="仿宋_GB2312" w:hAnsi="仿宋_GB2312" w:eastAsia="仿宋_GB2312" w:cs="仿宋_GB2312"/>
          <w:i w:val="0"/>
          <w:color w:val="0F1115"/>
          <w:spacing w:val="-6"/>
          <w:kern w:val="2"/>
          <w:sz w:val="32"/>
          <w:szCs w:val="32"/>
          <w:lang w:val="en-US" w:eastAsia="zh-CN" w:bidi="ar-SA"/>
        </w:rPr>
        <w:t xml:space="preserve"> 为规范和加强贵州省财会领域科研课题管理，提升财会领域科研质量，服务财会工作高质量发展，依据国家及贵州省哲学社会科学研究项目管理有关规定，结合我省实际，制定本办法。</w:t>
      </w:r>
    </w:p>
    <w:p>
      <w:pPr>
        <w:spacing w:line="590" w:lineRule="exact"/>
        <w:ind w:firstLine="619" w:firstLineChars="200"/>
        <w:rPr>
          <w:rFonts w:hint="eastAsia" w:ascii="仿宋_GB2312" w:hAnsi="仿宋_GB2312" w:eastAsia="仿宋_GB2312" w:cs="仿宋_GB2312"/>
          <w:i w:val="0"/>
          <w:color w:val="0F1115"/>
          <w:spacing w:val="-6"/>
          <w:kern w:val="2"/>
          <w:sz w:val="32"/>
          <w:szCs w:val="32"/>
          <w:lang w:val="en-US" w:eastAsia="zh-CN" w:bidi="ar-SA"/>
        </w:rPr>
      </w:pPr>
      <w:r>
        <w:rPr>
          <w:rFonts w:hint="eastAsia" w:ascii="仿宋_GB2312" w:hAnsi="仿宋_GB2312" w:eastAsia="仿宋_GB2312" w:cs="仿宋_GB2312"/>
          <w:b/>
          <w:bCs/>
          <w:i w:val="0"/>
          <w:color w:val="0F1115"/>
          <w:spacing w:val="-6"/>
          <w:kern w:val="2"/>
          <w:sz w:val="32"/>
          <w:szCs w:val="32"/>
          <w:lang w:val="en-US" w:eastAsia="zh-CN" w:bidi="ar-SA"/>
        </w:rPr>
        <w:t>第二条</w:t>
      </w:r>
      <w:r>
        <w:rPr>
          <w:rFonts w:hint="eastAsia" w:ascii="仿宋_GB2312" w:hAnsi="仿宋_GB2312" w:eastAsia="仿宋_GB2312" w:cs="仿宋_GB2312"/>
          <w:i w:val="0"/>
          <w:color w:val="0F1115"/>
          <w:spacing w:val="-6"/>
          <w:kern w:val="2"/>
          <w:sz w:val="32"/>
          <w:szCs w:val="32"/>
          <w:lang w:val="en-US" w:eastAsia="zh-CN" w:bidi="ar-SA"/>
        </w:rPr>
        <w:t xml:space="preserve"> 本办法所称贵州省财会领域科研课题（以下简称“财会课题”），是指纳入贵州省理论创新课题管理体系，由贵州省财政厅（以下简称“省财政厅”）、贵州省社会科学界联合会（以下简称“省社科联”）共同确定选题、组织申报并批准立项的财会类研究课题。</w:t>
      </w:r>
    </w:p>
    <w:p>
      <w:pPr>
        <w:spacing w:line="590" w:lineRule="exact"/>
        <w:ind w:firstLine="619" w:firstLineChars="200"/>
        <w:rPr>
          <w:rFonts w:hint="eastAsia" w:ascii="仿宋_GB2312" w:hAnsi="仿宋_GB2312" w:eastAsia="仿宋_GB2312" w:cs="仿宋_GB2312"/>
          <w:i w:val="0"/>
          <w:color w:val="0F1115"/>
          <w:spacing w:val="-6"/>
          <w:kern w:val="2"/>
          <w:sz w:val="32"/>
          <w:szCs w:val="32"/>
          <w:lang w:val="en-US" w:eastAsia="zh-CN" w:bidi="ar-SA"/>
        </w:rPr>
      </w:pPr>
      <w:r>
        <w:rPr>
          <w:rFonts w:hint="eastAsia" w:ascii="仿宋_GB2312" w:hAnsi="仿宋_GB2312" w:eastAsia="仿宋_GB2312" w:cs="仿宋_GB2312"/>
          <w:b/>
          <w:bCs/>
          <w:i w:val="0"/>
          <w:color w:val="0F1115"/>
          <w:spacing w:val="-6"/>
          <w:kern w:val="2"/>
          <w:sz w:val="32"/>
          <w:szCs w:val="32"/>
          <w:lang w:val="en-US" w:eastAsia="zh-CN" w:bidi="ar-SA"/>
        </w:rPr>
        <w:t>第三条</w:t>
      </w:r>
      <w:r>
        <w:rPr>
          <w:rFonts w:hint="eastAsia" w:ascii="仿宋_GB2312" w:hAnsi="仿宋_GB2312" w:eastAsia="仿宋_GB2312" w:cs="仿宋_GB2312"/>
          <w:i w:val="0"/>
          <w:color w:val="0F1115"/>
          <w:spacing w:val="-6"/>
          <w:kern w:val="2"/>
          <w:sz w:val="32"/>
          <w:szCs w:val="32"/>
          <w:lang w:val="en-US" w:eastAsia="zh-CN" w:bidi="ar-SA"/>
        </w:rPr>
        <w:t xml:space="preserve"> 在贵州省行政区域内具备财会领域科研能力的政府部门、高等院校、科研机构、企业及其他具有独立法人资格的单位，可单独或联合组成课题组申报。</w:t>
      </w:r>
    </w:p>
    <w:p>
      <w:pPr>
        <w:spacing w:line="590" w:lineRule="exact"/>
        <w:ind w:firstLine="616" w:firstLineChars="200"/>
        <w:rPr>
          <w:rFonts w:hint="eastAsia" w:ascii="仿宋_GB2312" w:hAnsi="仿宋_GB2312" w:eastAsia="仿宋_GB2312" w:cs="仿宋_GB2312"/>
          <w:i w:val="0"/>
          <w:color w:val="0F1115"/>
          <w:spacing w:val="-6"/>
          <w:kern w:val="2"/>
          <w:sz w:val="32"/>
          <w:szCs w:val="32"/>
          <w:lang w:val="en-US" w:eastAsia="zh-CN" w:bidi="ar-SA"/>
        </w:rPr>
      </w:pPr>
    </w:p>
    <w:p>
      <w:pPr>
        <w:numPr>
          <w:ilvl w:val="0"/>
          <w:numId w:val="1"/>
        </w:numPr>
        <w:spacing w:line="590" w:lineRule="exact"/>
        <w:jc w:val="center"/>
        <w:rPr>
          <w:rFonts w:hint="eastAsia" w:ascii="黑体" w:hAnsi="黑体" w:eastAsia="黑体" w:cs="黑体"/>
          <w:kern w:val="44"/>
          <w:sz w:val="32"/>
          <w:szCs w:val="32"/>
          <w:lang w:val="en-US" w:eastAsia="zh-CN" w:bidi="ar-SA"/>
        </w:rPr>
      </w:pPr>
      <w:r>
        <w:rPr>
          <w:rFonts w:hint="eastAsia" w:ascii="黑体" w:hAnsi="黑体" w:eastAsia="黑体" w:cs="黑体"/>
          <w:kern w:val="44"/>
          <w:sz w:val="32"/>
          <w:szCs w:val="32"/>
          <w:lang w:val="en-US" w:eastAsia="zh-CN" w:bidi="ar-SA"/>
        </w:rPr>
        <w:t>管理职责</w:t>
      </w:r>
    </w:p>
    <w:p>
      <w:pPr>
        <w:numPr>
          <w:ilvl w:val="-1"/>
          <w:numId w:val="0"/>
        </w:numPr>
        <w:spacing w:line="590" w:lineRule="exact"/>
        <w:jc w:val="both"/>
        <w:rPr>
          <w:rFonts w:hint="eastAsia" w:ascii="黑体" w:hAnsi="黑体" w:eastAsia="黑体" w:cs="黑体"/>
          <w:kern w:val="44"/>
          <w:sz w:val="32"/>
          <w:szCs w:val="32"/>
          <w:lang w:val="en-US" w:eastAsia="zh-CN" w:bidi="ar-SA"/>
        </w:rPr>
      </w:pPr>
    </w:p>
    <w:p>
      <w:pPr>
        <w:spacing w:line="590" w:lineRule="exact"/>
        <w:ind w:firstLine="619" w:firstLineChars="200"/>
        <w:rPr>
          <w:rFonts w:hint="default"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第四条</w:t>
      </w:r>
      <w:r>
        <w:rPr>
          <w:rFonts w:hint="eastAsia" w:ascii="Times New Roman" w:hAnsi="Times New Roman" w:eastAsia="方正仿宋_GB2312" w:cs="方正仿宋_GB2312"/>
          <w:i w:val="0"/>
          <w:color w:val="0F1115"/>
          <w:spacing w:val="-6"/>
          <w:kern w:val="2"/>
          <w:sz w:val="32"/>
          <w:szCs w:val="32"/>
          <w:lang w:val="en-US" w:eastAsia="zh-CN" w:bidi="ar-SA"/>
        </w:rPr>
        <w:t xml:space="preserve"> 财会课题管理实行统一领导、分工协作、分级负责、责任到人原则。省财政厅、省社科联统一领导；省财政厅归口管理；课题承担单位负责本单位课题的过程管理与经费监管；课题负责人对课题研究具体负责；贵州省会计学会（以下简称“省会计学会”）协助开展日常管理。</w:t>
      </w:r>
    </w:p>
    <w:p>
      <w:pPr>
        <w:spacing w:line="590" w:lineRule="exact"/>
        <w:ind w:firstLine="619"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第五条</w:t>
      </w:r>
      <w:r>
        <w:rPr>
          <w:rFonts w:hint="eastAsia" w:ascii="Times New Roman" w:hAnsi="Times New Roman" w:eastAsia="方正仿宋_GB2312" w:cs="方正仿宋_GB2312"/>
          <w:i w:val="0"/>
          <w:color w:val="0F1115"/>
          <w:spacing w:val="-6"/>
          <w:kern w:val="2"/>
          <w:sz w:val="32"/>
          <w:szCs w:val="32"/>
          <w:lang w:val="en-US" w:eastAsia="zh-CN" w:bidi="ar-SA"/>
        </w:rPr>
        <w:t xml:space="preserve"> 省财政厅职责：</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（一）会同省社科联发布年度财会领域科研课题申报指南与申报通知；</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（二）受理申报、组织立项评审，会同省社科联审定立项并签订课题任务书；</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（三）监督课题实施进度与质量，会同省社科联组织中期检查和结题验收；</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（四）负责优秀成果推广运用与转化。</w:t>
      </w:r>
    </w:p>
    <w:p>
      <w:pPr>
        <w:spacing w:line="590" w:lineRule="exact"/>
        <w:ind w:firstLine="619"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第六条</w:t>
      </w:r>
      <w:r>
        <w:rPr>
          <w:rFonts w:hint="eastAsia" w:ascii="Times New Roman" w:hAnsi="Times New Roman" w:eastAsia="方正仿宋_GB2312" w:cs="方正仿宋_GB2312"/>
          <w:i w:val="0"/>
          <w:color w:val="0F1115"/>
          <w:spacing w:val="-6"/>
          <w:kern w:val="2"/>
          <w:sz w:val="32"/>
          <w:szCs w:val="32"/>
          <w:lang w:val="en-US" w:eastAsia="zh-CN" w:bidi="ar-SA"/>
        </w:rPr>
        <w:t xml:space="preserve"> 省社科联职责：</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（一）参与年度申报指南制定、立项评审及结题验收；</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（二）协助开展课题过程管理与学术质量监督；</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（三）推动优秀财会科研成果纳入省哲学社会科学成果推广体系；</w:t>
      </w:r>
    </w:p>
    <w:p>
      <w:pPr>
        <w:spacing w:line="590" w:lineRule="exact"/>
        <w:ind w:firstLine="616" w:firstLineChars="200"/>
        <w:rPr>
          <w:rFonts w:hint="default"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（四）对课题研究的意识形态导向、学术规范性进行指导监督。</w:t>
      </w:r>
    </w:p>
    <w:p>
      <w:pPr>
        <w:spacing w:line="590" w:lineRule="exact"/>
        <w:ind w:firstLine="619"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 xml:space="preserve">第七条 </w:t>
      </w:r>
      <w:r>
        <w:rPr>
          <w:rFonts w:hint="eastAsia" w:ascii="Times New Roman" w:hAnsi="Times New Roman" w:eastAsia="方正仿宋_GB2312" w:cs="方正仿宋_GB2312"/>
          <w:b w:val="0"/>
          <w:bCs w:val="0"/>
          <w:i w:val="0"/>
          <w:color w:val="0F1115"/>
          <w:spacing w:val="-6"/>
          <w:kern w:val="2"/>
          <w:sz w:val="32"/>
          <w:szCs w:val="32"/>
          <w:lang w:val="en-US" w:eastAsia="zh-CN" w:bidi="ar-SA"/>
        </w:rPr>
        <w:t>课题</w:t>
      </w:r>
      <w:r>
        <w:rPr>
          <w:rFonts w:hint="eastAsia" w:ascii="Times New Roman" w:hAnsi="Times New Roman" w:eastAsia="方正仿宋_GB2312" w:cs="方正仿宋_GB2312"/>
          <w:i w:val="0"/>
          <w:color w:val="0F1115"/>
          <w:spacing w:val="-6"/>
          <w:kern w:val="2"/>
          <w:sz w:val="32"/>
          <w:szCs w:val="32"/>
          <w:lang w:val="en-US" w:eastAsia="zh-CN" w:bidi="ar-SA"/>
        </w:rPr>
        <w:t>承担单位职责：</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（一）指导、监督项目课题组按任务书实施研究；</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（二）落实自筹经费，加强经费财务管理与核算，监督合规使用；</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（三）审核并报送课题变更、延期、结题等申请材料；</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i w:val="0"/>
          <w:color w:val="0F1115"/>
          <w:spacing w:val="-6"/>
          <w:kern w:val="2"/>
          <w:sz w:val="32"/>
          <w:szCs w:val="32"/>
          <w:lang w:val="en-US" w:eastAsia="zh-CN" w:bidi="ar-SA"/>
        </w:rPr>
        <w:t>（四）承担本单位课题日常监管和科研诚信建设主体责任。</w:t>
      </w:r>
    </w:p>
    <w:p>
      <w:pPr>
        <w:spacing w:line="590" w:lineRule="exact"/>
        <w:ind w:firstLine="619"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第八条</w:t>
      </w:r>
      <w:r>
        <w:rPr>
          <w:rFonts w:hint="eastAsia" w:ascii="Times New Roman" w:hAnsi="Times New Roman" w:eastAsia="方正仿宋_GB2312" w:cs="方正仿宋_GB2312"/>
          <w:i w:val="0"/>
          <w:color w:val="0F1115"/>
          <w:spacing w:val="-6"/>
          <w:kern w:val="2"/>
          <w:sz w:val="32"/>
          <w:szCs w:val="32"/>
          <w:lang w:val="en-US" w:eastAsia="zh-CN" w:bidi="ar-SA"/>
        </w:rPr>
        <w:t xml:space="preserve"> 课题实行课题负责人负责制。课题负责人为课题研究、质量进度、经费使用、知识产权与科研诚信的第一责任人，全面负责研究执行、团队管理与成果产出。</w:t>
      </w:r>
    </w:p>
    <w:p>
      <w:pPr>
        <w:spacing w:line="590" w:lineRule="exact"/>
        <w:ind w:firstLine="619"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第九条</w:t>
      </w:r>
      <w:r>
        <w:rPr>
          <w:rFonts w:hint="eastAsia" w:ascii="Times New Roman" w:hAnsi="Times New Roman" w:eastAsia="方正仿宋_GB2312" w:cs="方正仿宋_GB2312"/>
          <w:i w:val="0"/>
          <w:color w:val="0F1115"/>
          <w:spacing w:val="-6"/>
          <w:kern w:val="2"/>
          <w:sz w:val="32"/>
          <w:szCs w:val="32"/>
          <w:lang w:val="en-US" w:eastAsia="zh-CN" w:bidi="ar-SA"/>
        </w:rPr>
        <w:t xml:space="preserve"> 省会计学会协助开展课题申报、评审、验收，以及档案管理、成果汇编、宣传推广、学术咨询、专家联络与服务保障等具体工作。</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p>
    <w:p>
      <w:pPr>
        <w:numPr>
          <w:ilvl w:val="0"/>
          <w:numId w:val="1"/>
        </w:numPr>
        <w:spacing w:line="590" w:lineRule="exact"/>
        <w:jc w:val="center"/>
        <w:rPr>
          <w:rFonts w:hint="eastAsia" w:ascii="黑体" w:hAnsi="黑体" w:eastAsia="黑体" w:cs="黑体"/>
          <w:kern w:val="44"/>
          <w:sz w:val="32"/>
          <w:szCs w:val="32"/>
          <w:lang w:val="en-US" w:eastAsia="zh-CN" w:bidi="ar-SA"/>
        </w:rPr>
      </w:pPr>
      <w:r>
        <w:rPr>
          <w:rFonts w:hint="eastAsia" w:ascii="黑体" w:hAnsi="黑体" w:eastAsia="黑体" w:cs="黑体"/>
          <w:kern w:val="44"/>
          <w:sz w:val="32"/>
          <w:szCs w:val="32"/>
          <w:lang w:val="en-US" w:eastAsia="zh-CN" w:bidi="ar-SA"/>
        </w:rPr>
        <w:t>项目申报与立项管理</w:t>
      </w:r>
    </w:p>
    <w:p>
      <w:pPr>
        <w:numPr>
          <w:ilvl w:val="-1"/>
          <w:numId w:val="0"/>
        </w:numPr>
        <w:spacing w:line="590" w:lineRule="exact"/>
        <w:jc w:val="both"/>
        <w:rPr>
          <w:rFonts w:hint="eastAsia" w:ascii="黑体" w:hAnsi="黑体" w:eastAsia="黑体" w:cs="黑体"/>
          <w:kern w:val="44"/>
          <w:sz w:val="32"/>
          <w:szCs w:val="32"/>
          <w:lang w:val="en-US" w:eastAsia="zh-CN" w:bidi="ar-SA"/>
        </w:rPr>
      </w:pP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 xml:space="preserve">第十条 </w:t>
      </w:r>
      <w:r>
        <w:rPr>
          <w:rFonts w:hint="eastAsia" w:ascii="Times New Roman" w:hAnsi="Times New Roman" w:eastAsia="仿宋_GB2312" w:cs="仿宋_GB2312"/>
          <w:b w:val="0"/>
          <w:bCs w:val="0"/>
          <w:i w:val="0"/>
          <w:color w:val="0F1115"/>
          <w:spacing w:val="-6"/>
          <w:kern w:val="2"/>
          <w:sz w:val="32"/>
          <w:szCs w:val="32"/>
          <w:lang w:val="en-US" w:eastAsia="zh-CN" w:bidi="ar-SA"/>
        </w:rPr>
        <w:t>财会</w:t>
      </w:r>
      <w:r>
        <w:rPr>
          <w:rFonts w:hint="eastAsia" w:ascii="Times New Roman" w:hAnsi="Times New Roman" w:eastAsia="仿宋_GB2312" w:cs="仿宋_GB2312"/>
          <w:i w:val="0"/>
          <w:color w:val="0F1115"/>
          <w:spacing w:val="-6"/>
          <w:kern w:val="2"/>
          <w:sz w:val="32"/>
          <w:szCs w:val="32"/>
          <w:lang w:val="en-US" w:eastAsia="zh-CN" w:bidi="ar-SA"/>
        </w:rPr>
        <w:t>课题选题应紧扣国家方针政策，围绕省委、省政府重大战略决策部署和全省财政、财务、会计等财会领域改革发展需要，聚焦重点、难点、热点问题，兼顾前瞻性、战略性、理论性与应用性。重点方向包括：</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（一）落实财政部、省委、省政府重大战略决策部署相关的财会管理政策问题；</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（二）省财政厅重点工作涉及的的财会管理政策及实施问题；</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（三）财会理论创新、相关制度和方法改革及前瞻性、普遍性问题；</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（四）财会人才培养、行业监管、风险防控等实践创新问题；</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（五）其他事关财会工作高质量发展的重要问题。</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第十一条</w:t>
      </w:r>
      <w:r>
        <w:rPr>
          <w:rFonts w:hint="eastAsia" w:ascii="Times New Roman" w:hAnsi="Times New Roman" w:eastAsia="仿宋_GB2312" w:cs="仿宋_GB2312"/>
          <w:i w:val="0"/>
          <w:color w:val="0F1115"/>
          <w:spacing w:val="-6"/>
          <w:kern w:val="2"/>
          <w:sz w:val="32"/>
          <w:szCs w:val="32"/>
          <w:lang w:val="en-US" w:eastAsia="zh-CN" w:bidi="ar-SA"/>
        </w:rPr>
        <w:t xml:space="preserve"> 申报指南每年由省财政厅会同省社科联发布。分为指定选题与自主选题两类：</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（一）指定选题：省财政厅会同省社科联确定重点选题，定向委托课题组；</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（二）自主选题：采用开放式申报、评审立项方式，向全社会公开征集。</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 xml:space="preserve">第十二条 </w:t>
      </w:r>
      <w:r>
        <w:rPr>
          <w:rFonts w:hint="eastAsia" w:ascii="Times New Roman" w:hAnsi="Times New Roman" w:eastAsia="仿宋_GB2312" w:cs="仿宋_GB2312"/>
          <w:i w:val="0"/>
          <w:color w:val="0F1115"/>
          <w:spacing w:val="-6"/>
          <w:kern w:val="2"/>
          <w:sz w:val="32"/>
          <w:szCs w:val="32"/>
          <w:lang w:val="en-US" w:eastAsia="zh-CN" w:bidi="ar-SA"/>
        </w:rPr>
        <w:t>课题组须按要求填写《贵州省</w:t>
      </w:r>
      <w:r>
        <w:rPr>
          <w:rFonts w:hint="eastAsia" w:ascii="仿宋_GB2312" w:hAnsi="仿宋_GB2312" w:eastAsia="仿宋_GB2312" w:cs="仿宋_GB2312"/>
          <w:i w:val="0"/>
          <w:color w:val="0F1115"/>
          <w:spacing w:val="-6"/>
          <w:kern w:val="2"/>
          <w:sz w:val="32"/>
          <w:szCs w:val="32"/>
          <w:lang w:val="en-US" w:eastAsia="zh-CN" w:bidi="ar-SA"/>
        </w:rPr>
        <w:t>理论创新课题</w:t>
      </w:r>
      <w:r>
        <w:rPr>
          <w:rFonts w:hint="eastAsia" w:ascii="Times New Roman" w:hAnsi="Times New Roman" w:eastAsia="仿宋_GB2312" w:cs="仿宋_GB2312"/>
          <w:i w:val="0"/>
          <w:color w:val="0F1115"/>
          <w:spacing w:val="-6"/>
          <w:kern w:val="2"/>
          <w:sz w:val="32"/>
          <w:szCs w:val="32"/>
          <w:lang w:val="en-US" w:eastAsia="zh-CN" w:bidi="ar-SA"/>
        </w:rPr>
        <w:t>财会领域科研课题申报书》，经承担单位审查盖章后按期报送，逾期不予受理。</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第十三条</w:t>
      </w:r>
      <w:r>
        <w:rPr>
          <w:rFonts w:hint="eastAsia" w:ascii="Times New Roman" w:hAnsi="Times New Roman" w:eastAsia="仿宋_GB2312" w:cs="仿宋_GB2312"/>
          <w:i w:val="0"/>
          <w:color w:val="0F1115"/>
          <w:spacing w:val="-6"/>
          <w:kern w:val="2"/>
          <w:sz w:val="32"/>
          <w:szCs w:val="32"/>
          <w:lang w:val="en-US" w:eastAsia="zh-CN" w:bidi="ar-SA"/>
        </w:rPr>
        <w:t xml:space="preserve"> 申报限定：</w:t>
      </w:r>
    </w:p>
    <w:p>
      <w:pPr>
        <w:numPr>
          <w:ilvl w:val="0"/>
          <w:numId w:val="2"/>
        </w:numPr>
        <w:spacing w:line="590" w:lineRule="exact"/>
        <w:ind w:firstLine="640" w:firstLineChars="200"/>
        <w:rPr>
          <w:rFonts w:hint="eastAsia" w:ascii="Times New Roman" w:hAnsi="Times New Roman" w:eastAsia="仿宋_GB2312" w:cs="仿宋_GB2312"/>
          <w:b w:val="0"/>
          <w:sz w:val="32"/>
        </w:rPr>
      </w:pPr>
      <w:r>
        <w:rPr>
          <w:rFonts w:hint="eastAsia" w:ascii="Times New Roman" w:hAnsi="Times New Roman" w:eastAsia="仿宋_GB2312" w:cs="仿宋_GB2312"/>
          <w:b w:val="0"/>
          <w:sz w:val="32"/>
          <w:lang w:eastAsia="zh-CN"/>
        </w:rPr>
        <w:t>一个负责人</w:t>
      </w:r>
      <w:r>
        <w:rPr>
          <w:rFonts w:hint="eastAsia" w:ascii="Times New Roman" w:hAnsi="Times New Roman" w:eastAsia="仿宋_GB2312" w:cs="仿宋_GB2312"/>
          <w:b w:val="0"/>
          <w:sz w:val="32"/>
        </w:rPr>
        <w:t>当年限</w:t>
      </w:r>
      <w:r>
        <w:rPr>
          <w:rFonts w:hint="eastAsia" w:ascii="Times New Roman" w:hAnsi="Times New Roman" w:eastAsia="仿宋_GB2312" w:cs="仿宋_GB2312"/>
          <w:b w:val="0"/>
          <w:sz w:val="32"/>
          <w:lang w:eastAsia="zh-CN"/>
        </w:rPr>
        <w:t>牵头申</w:t>
      </w:r>
      <w:r>
        <w:rPr>
          <w:rFonts w:hint="eastAsia" w:ascii="Times New Roman" w:hAnsi="Times New Roman" w:eastAsia="仿宋_GB2312" w:cs="仿宋_GB2312"/>
          <w:b w:val="0"/>
          <w:sz w:val="32"/>
        </w:rPr>
        <w:t>报1</w:t>
      </w:r>
      <w:r>
        <w:rPr>
          <w:rFonts w:hint="eastAsia" w:ascii="Times New Roman" w:hAnsi="Times New Roman" w:eastAsia="仿宋_GB2312" w:cs="仿宋_GB2312"/>
          <w:b w:val="0"/>
          <w:sz w:val="32"/>
          <w:lang w:eastAsia="zh-CN"/>
        </w:rPr>
        <w:t>个课题；课题组成员最多参与</w:t>
      </w:r>
      <w:r>
        <w:rPr>
          <w:rFonts w:hint="eastAsia" w:ascii="Times New Roman" w:hAnsi="Times New Roman" w:eastAsia="仿宋_GB2312" w:cs="仿宋_GB2312"/>
          <w:b w:val="0"/>
          <w:sz w:val="32"/>
          <w:lang w:val="en-US" w:eastAsia="zh-CN"/>
        </w:rPr>
        <w:t>2个课题申请；</w:t>
      </w:r>
    </w:p>
    <w:p>
      <w:pPr>
        <w:numPr>
          <w:ilvl w:val="0"/>
          <w:numId w:val="2"/>
        </w:num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在研课题负责人不得申报新课题；在研课题组成员可作为负责人申报1个新课题；</w:t>
      </w:r>
    </w:p>
    <w:p>
      <w:pPr>
        <w:numPr>
          <w:ilvl w:val="0"/>
          <w:numId w:val="2"/>
        </w:num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凡以博士论文或博士后出站报告为基础申报的，须在申报书中注明联系与区别，承诺进行实质性修改，最终成果与原论文重复比例不得超过60%。</w:t>
      </w:r>
    </w:p>
    <w:p>
      <w:pPr>
        <w:numPr>
          <w:ilvl w:val="0"/>
          <w:numId w:val="2"/>
        </w:num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已获国家社会科学基金项目、国家部委项目、省哲学社会科学规划课题或者省内其他省级课题立项的项目或者子项目，不得重复申报。</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第十四条</w:t>
      </w:r>
      <w:r>
        <w:rPr>
          <w:rFonts w:hint="eastAsia" w:ascii="Times New Roman" w:hAnsi="Times New Roman" w:eastAsia="仿宋_GB2312" w:cs="仿宋_GB2312"/>
          <w:i w:val="0"/>
          <w:color w:val="0F1115"/>
          <w:spacing w:val="-6"/>
          <w:kern w:val="2"/>
          <w:sz w:val="32"/>
          <w:szCs w:val="32"/>
          <w:lang w:val="en-US" w:eastAsia="zh-CN" w:bidi="ar-SA"/>
        </w:rPr>
        <w:t xml:space="preserve"> 省财政厅会同省社科联对申报材料进行形式审查，组织专家对研究内容、工作方案、预期成果、经费保障等进行评审，择优立项。</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 xml:space="preserve">第十五条 </w:t>
      </w:r>
      <w:r>
        <w:rPr>
          <w:rFonts w:hint="eastAsia" w:ascii="Times New Roman" w:hAnsi="Times New Roman" w:eastAsia="仿宋_GB2312" w:cs="仿宋_GB2312"/>
          <w:i w:val="0"/>
          <w:color w:val="0F1115"/>
          <w:spacing w:val="-6"/>
          <w:kern w:val="2"/>
          <w:sz w:val="32"/>
          <w:szCs w:val="32"/>
          <w:lang w:val="en-US" w:eastAsia="zh-CN" w:bidi="ar-SA"/>
        </w:rPr>
        <w:t>拟立项课题通过“贵州省财政会计网”、省社科联网站、省会计学会官网和微信公众号等渠道公示，公示期满无异议后，由省财政厅、省社科联与课题承担单位签订课题任务书，明确各方权利、责任和义务。任务书一经签订即具有法律效力，不得随意变更研究内容、负责人及承担单位。</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第十六条</w:t>
      </w:r>
      <w:r>
        <w:rPr>
          <w:rFonts w:hint="eastAsia" w:ascii="Times New Roman" w:hAnsi="Times New Roman" w:eastAsia="仿宋_GB2312" w:cs="仿宋_GB2312"/>
          <w:i w:val="0"/>
          <w:color w:val="0F1115"/>
          <w:spacing w:val="-6"/>
          <w:kern w:val="2"/>
          <w:sz w:val="32"/>
          <w:szCs w:val="32"/>
          <w:lang w:val="en-US" w:eastAsia="zh-CN" w:bidi="ar-SA"/>
        </w:rPr>
        <w:t xml:space="preserve"> 课题研究周期原则上应当在立项年度内完成；下半年立项或者确因研究任务需要跨年度实施的，研究周期原则上不超过一年；课题有明确周期的从其规定。</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 xml:space="preserve">第十七条 </w:t>
      </w:r>
      <w:r>
        <w:rPr>
          <w:rFonts w:hint="eastAsia" w:ascii="Times New Roman" w:hAnsi="Times New Roman" w:eastAsia="仿宋_GB2312" w:cs="仿宋_GB2312"/>
          <w:i w:val="0"/>
          <w:color w:val="0F1115"/>
          <w:spacing w:val="-6"/>
          <w:kern w:val="2"/>
          <w:sz w:val="32"/>
          <w:szCs w:val="32"/>
          <w:lang w:val="en-US" w:eastAsia="zh-CN" w:bidi="ar-SA"/>
        </w:rPr>
        <w:t>中期检查通常于立项后5至6个月开展。课题组须提交中期进展报告，省财政厅会同省社科联组织专家对研究进展、阶段性成果、经费使用等进行抽查。对进展缓慢的课题，有权提出整改或终止建议。</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第十八条</w:t>
      </w:r>
      <w:r>
        <w:rPr>
          <w:rFonts w:hint="eastAsia" w:ascii="Times New Roman" w:hAnsi="Times New Roman" w:eastAsia="仿宋_GB2312" w:cs="仿宋_GB2312"/>
          <w:i w:val="0"/>
          <w:color w:val="0F1115"/>
          <w:spacing w:val="-6"/>
          <w:kern w:val="2"/>
          <w:sz w:val="32"/>
          <w:szCs w:val="32"/>
          <w:lang w:val="en-US" w:eastAsia="zh-CN" w:bidi="ar-SA"/>
        </w:rPr>
        <w:t xml:space="preserve"> 课题确需中止，或研究内容、课题组成员、研究周期、承担单位等需调整的，须由负责人提交书面申请，承担单位审核盖章，报省财政厅、省社科联审批。变更申请须在课题立项通知下达之日起三个月内提交，超过三个月提交课题变更申请的，不予受理。因不可抗力无法按期完成的，须在事件发生后10日内提交延期申请，经批准可适当延期，最长不超过6个月。</w:t>
      </w:r>
    </w:p>
    <w:p>
      <w:pPr>
        <w:spacing w:line="590" w:lineRule="exact"/>
        <w:jc w:val="center"/>
        <w:rPr>
          <w:rFonts w:hint="eastAsia" w:ascii="黑体" w:hAnsi="黑体" w:eastAsia="黑体" w:cs="黑体"/>
          <w:kern w:val="44"/>
          <w:sz w:val="32"/>
          <w:szCs w:val="32"/>
          <w:lang w:val="en-US" w:eastAsia="zh-CN" w:bidi="ar-SA"/>
        </w:rPr>
      </w:pPr>
    </w:p>
    <w:p>
      <w:pPr>
        <w:numPr>
          <w:ilvl w:val="0"/>
          <w:numId w:val="1"/>
        </w:numPr>
        <w:spacing w:line="590" w:lineRule="exact"/>
        <w:jc w:val="center"/>
        <w:rPr>
          <w:rFonts w:hint="eastAsia" w:ascii="黑体" w:hAnsi="黑体" w:eastAsia="黑体" w:cs="黑体"/>
          <w:kern w:val="44"/>
          <w:sz w:val="32"/>
          <w:szCs w:val="32"/>
          <w:lang w:val="en-US" w:eastAsia="zh-CN" w:bidi="ar-SA"/>
        </w:rPr>
      </w:pPr>
      <w:r>
        <w:rPr>
          <w:rFonts w:hint="eastAsia" w:ascii="黑体" w:hAnsi="黑体" w:eastAsia="黑体" w:cs="黑体"/>
          <w:kern w:val="44"/>
          <w:sz w:val="32"/>
          <w:szCs w:val="32"/>
          <w:lang w:val="en-US" w:eastAsia="zh-CN" w:bidi="ar-SA"/>
        </w:rPr>
        <w:t>结题验收</w:t>
      </w:r>
    </w:p>
    <w:p>
      <w:pPr>
        <w:numPr>
          <w:ilvl w:val="-1"/>
          <w:numId w:val="0"/>
        </w:numPr>
        <w:spacing w:line="590" w:lineRule="exact"/>
        <w:jc w:val="both"/>
        <w:rPr>
          <w:rFonts w:hint="eastAsia" w:ascii="黑体" w:hAnsi="黑体" w:eastAsia="黑体" w:cs="黑体"/>
          <w:kern w:val="44"/>
          <w:sz w:val="32"/>
          <w:szCs w:val="32"/>
          <w:lang w:val="en-US" w:eastAsia="zh-CN" w:bidi="ar-SA"/>
        </w:rPr>
      </w:pPr>
    </w:p>
    <w:p>
      <w:pPr>
        <w:numPr>
          <w:ilvl w:val="0"/>
          <w:numId w:val="3"/>
        </w:num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课题组应按任务书在规定时限内完成研究任务，并提交结题验收申请及全套成果材料。</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第二十条</w:t>
      </w:r>
      <w:r>
        <w:rPr>
          <w:rFonts w:hint="eastAsia" w:ascii="Times New Roman" w:hAnsi="Times New Roman" w:eastAsia="仿宋_GB2312" w:cs="仿宋_GB2312"/>
          <w:i w:val="0"/>
          <w:color w:val="0F1115"/>
          <w:spacing w:val="-6"/>
          <w:kern w:val="2"/>
          <w:sz w:val="32"/>
          <w:szCs w:val="32"/>
          <w:lang w:val="en-US" w:eastAsia="zh-CN" w:bidi="ar-SA"/>
        </w:rPr>
        <w:t xml:space="preserve"> 结题鉴定须提交以下材料：</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（一）课题立项通知书；</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（二）《贵州省</w:t>
      </w:r>
      <w:r>
        <w:rPr>
          <w:rFonts w:hint="eastAsia" w:ascii="仿宋_GB2312" w:hAnsi="仿宋_GB2312" w:eastAsia="仿宋_GB2312" w:cs="仿宋_GB2312"/>
          <w:i w:val="0"/>
          <w:color w:val="0F1115"/>
          <w:spacing w:val="-6"/>
          <w:kern w:val="2"/>
          <w:sz w:val="32"/>
          <w:szCs w:val="32"/>
          <w:lang w:val="en-US" w:eastAsia="zh-CN" w:bidi="ar-SA"/>
        </w:rPr>
        <w:t>理论创新课题</w:t>
      </w:r>
      <w:r>
        <w:rPr>
          <w:rFonts w:hint="eastAsia" w:ascii="Times New Roman" w:hAnsi="Times New Roman" w:eastAsia="仿宋_GB2312" w:cs="仿宋_GB2312"/>
          <w:i w:val="0"/>
          <w:color w:val="0F1115"/>
          <w:spacing w:val="-6"/>
          <w:kern w:val="2"/>
          <w:sz w:val="32"/>
          <w:szCs w:val="32"/>
          <w:lang w:val="en-US" w:eastAsia="zh-CN" w:bidi="ar-SA"/>
        </w:rPr>
        <w:t>财会领域科研课题申报书》；</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（三）中期进展报告；</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（四）《贵州省</w:t>
      </w:r>
      <w:r>
        <w:rPr>
          <w:rFonts w:hint="eastAsia" w:ascii="仿宋_GB2312" w:hAnsi="仿宋_GB2312" w:eastAsia="仿宋_GB2312" w:cs="仿宋_GB2312"/>
          <w:i w:val="0"/>
          <w:color w:val="0F1115"/>
          <w:spacing w:val="-6"/>
          <w:kern w:val="2"/>
          <w:sz w:val="32"/>
          <w:szCs w:val="32"/>
          <w:lang w:val="en-US" w:eastAsia="zh-CN" w:bidi="ar-SA"/>
        </w:rPr>
        <w:t>理论创新课题</w:t>
      </w:r>
      <w:r>
        <w:rPr>
          <w:rFonts w:hint="eastAsia" w:ascii="Times New Roman" w:hAnsi="Times New Roman" w:eastAsia="仿宋_GB2312" w:cs="仿宋_GB2312"/>
          <w:i w:val="0"/>
          <w:color w:val="0F1115"/>
          <w:spacing w:val="-6"/>
          <w:kern w:val="2"/>
          <w:sz w:val="32"/>
          <w:szCs w:val="32"/>
          <w:lang w:val="en-US" w:eastAsia="zh-CN" w:bidi="ar-SA"/>
        </w:rPr>
        <w:t>财会领域科研课题结题申请书》；</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（五）成果主件（研究报告）及查重报告；</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（六）成果附件（书稿、著作、案例集、已发表论文、领导批示、获奖情况、采纳证明、媒体报道等）；</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（七）经费使用明细及决算表（须承担单位财务部门审核盖章）；</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（八）其他。</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第二十一条</w:t>
      </w:r>
      <w:r>
        <w:rPr>
          <w:rFonts w:hint="eastAsia" w:ascii="Times New Roman" w:hAnsi="Times New Roman" w:eastAsia="仿宋_GB2312" w:cs="仿宋_GB2312"/>
          <w:i w:val="0"/>
          <w:color w:val="0F1115"/>
          <w:spacing w:val="-6"/>
          <w:kern w:val="2"/>
          <w:sz w:val="32"/>
          <w:szCs w:val="32"/>
          <w:lang w:val="en-US" w:eastAsia="zh-CN" w:bidi="ar-SA"/>
        </w:rPr>
        <w:t xml:space="preserve"> 省财政厅会同省社科联对结题材料初审合格后，组织专家组进行结题评审。评审重点包括：</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（一）是否完成任务书约定的研究任务，达到预期目标；</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（二）是否符合学术规范与科研诚信要求，是否存在抄袭、剽窃等学术不端行为；</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（三）研究思路、方法、核心内容是否具备创新性与科学性；</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（四）基础资料、数据来源是否可靠、真实、准确、完整；</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（五）成果是否贴合实际，对策建议是否务实可行、具备应用推广价值。</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第二十二条</w:t>
      </w:r>
      <w:r>
        <w:rPr>
          <w:rFonts w:hint="eastAsia" w:ascii="Times New Roman" w:hAnsi="Times New Roman" w:eastAsia="仿宋_GB2312" w:cs="仿宋_GB2312"/>
          <w:i w:val="0"/>
          <w:color w:val="0F1115"/>
          <w:spacing w:val="-6"/>
          <w:kern w:val="2"/>
          <w:sz w:val="32"/>
          <w:szCs w:val="32"/>
          <w:lang w:val="en-US" w:eastAsia="zh-CN" w:bidi="ar-SA"/>
        </w:rPr>
        <w:t xml:space="preserve"> 课题结项结果分为优秀、良好、合格、不合格。优秀、良好、合格为结项通过等次，不合格为结项不予通过等次。课题达到结项条件的，可按以下标准评定相应通过等次：</w:t>
      </w:r>
    </w:p>
    <w:p>
      <w:pPr>
        <w:numPr>
          <w:ilvl w:val="0"/>
          <w:numId w:val="4"/>
        </w:num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优秀：成果具有重要理论创新或显著应用价值，得到省部级以上领导批示或被重要部门采纳，或在核心期刊发表相关论文1篇以上；</w:t>
      </w:r>
    </w:p>
    <w:p>
      <w:pPr>
        <w:numPr>
          <w:ilvl w:val="0"/>
          <w:numId w:val="4"/>
        </w:numPr>
        <w:spacing w:line="590" w:lineRule="exact"/>
        <w:ind w:firstLine="616" w:firstLineChars="200"/>
        <w:rPr>
          <w:rFonts w:hint="default"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良好：成果完成任务书要求，研究扎实，具有一定创新性和应用价值；</w:t>
      </w:r>
    </w:p>
    <w:p>
      <w:pPr>
        <w:numPr>
          <w:ilvl w:val="0"/>
          <w:numId w:val="4"/>
        </w:numPr>
        <w:spacing w:line="590" w:lineRule="exact"/>
        <w:ind w:firstLine="616" w:firstLineChars="200"/>
        <w:rPr>
          <w:rFonts w:hint="default"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合格：成果基本完成任务书要求，达到结题标准；</w:t>
      </w:r>
    </w:p>
    <w:p>
      <w:pPr>
        <w:numPr>
          <w:ilvl w:val="-1"/>
          <w:numId w:val="0"/>
        </w:numPr>
        <w:spacing w:line="590" w:lineRule="exact"/>
        <w:ind w:firstLine="592" w:firstLineChars="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第二十三条</w:t>
      </w:r>
      <w:r>
        <w:rPr>
          <w:rFonts w:hint="eastAsia" w:ascii="Times New Roman" w:hAnsi="Times New Roman" w:eastAsia="仿宋_GB2312" w:cs="仿宋_GB2312"/>
          <w:i w:val="0"/>
          <w:color w:val="0F1115"/>
          <w:spacing w:val="-6"/>
          <w:kern w:val="2"/>
          <w:sz w:val="32"/>
          <w:szCs w:val="32"/>
          <w:lang w:val="en-US" w:eastAsia="zh-CN" w:bidi="ar-SA"/>
        </w:rPr>
        <w:t xml:space="preserve"> 符合下列条件之一的课题，可申请免于鉴定：</w:t>
      </w:r>
    </w:p>
    <w:p>
      <w:pPr>
        <w:numPr>
          <w:ilvl w:val="0"/>
          <w:numId w:val="5"/>
        </w:numPr>
        <w:spacing w:line="590" w:lineRule="exact"/>
        <w:ind w:firstLine="592" w:firstLineChars="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成果获得省部级以上科研成果奖励；</w:t>
      </w:r>
    </w:p>
    <w:p>
      <w:pPr>
        <w:numPr>
          <w:ilvl w:val="0"/>
          <w:numId w:val="5"/>
        </w:numPr>
        <w:spacing w:line="590" w:lineRule="exact"/>
        <w:ind w:firstLine="592" w:firstLineChars="0"/>
        <w:rPr>
          <w:rFonts w:hint="default"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研究提出的理论观点、政策建议得到省部级以上党政领导肯定性批示并被有关部门采纳；</w:t>
      </w:r>
    </w:p>
    <w:p>
      <w:pPr>
        <w:numPr>
          <w:ilvl w:val="0"/>
          <w:numId w:val="5"/>
        </w:numPr>
        <w:spacing w:line="590" w:lineRule="exact"/>
        <w:ind w:firstLine="592" w:firstLineChars="0"/>
        <w:rPr>
          <w:rFonts w:hint="default"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经有关部门认定，成果内容涉密不宜公开。</w:t>
      </w:r>
    </w:p>
    <w:p>
      <w:pPr>
        <w:numPr>
          <w:ilvl w:val="0"/>
          <w:numId w:val="5"/>
        </w:numPr>
        <w:spacing w:line="590" w:lineRule="exact"/>
        <w:ind w:firstLine="592" w:firstLineChars="0"/>
        <w:rPr>
          <w:rFonts w:hint="default"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符合</w:t>
      </w:r>
      <w:r>
        <w:rPr>
          <w:rFonts w:hint="default" w:ascii="Times New Roman" w:hAnsi="Times New Roman" w:eastAsia="仿宋_GB2312" w:cs="仿宋_GB2312"/>
          <w:i w:val="0"/>
          <w:color w:val="0F1115"/>
          <w:spacing w:val="-6"/>
          <w:kern w:val="2"/>
          <w:sz w:val="32"/>
          <w:szCs w:val="32"/>
          <w:lang w:val="en-US" w:eastAsia="zh-CN" w:bidi="ar-SA"/>
        </w:rPr>
        <w:t>《贵州省理论创新课题管理办法》规定的其他免</w:t>
      </w:r>
      <w:r>
        <w:rPr>
          <w:rFonts w:hint="eastAsia" w:ascii="Times New Roman" w:hAnsi="Times New Roman" w:eastAsia="仿宋_GB2312" w:cs="仿宋_GB2312"/>
          <w:i w:val="0"/>
          <w:color w:val="0F1115"/>
          <w:spacing w:val="-6"/>
          <w:kern w:val="2"/>
          <w:sz w:val="32"/>
          <w:szCs w:val="32"/>
          <w:lang w:val="en-US" w:eastAsia="zh-CN" w:bidi="ar-SA"/>
        </w:rPr>
        <w:t>于鉴定的</w:t>
      </w:r>
      <w:r>
        <w:rPr>
          <w:rFonts w:hint="default" w:ascii="Times New Roman" w:hAnsi="Times New Roman" w:eastAsia="仿宋_GB2312" w:cs="仿宋_GB2312"/>
          <w:i w:val="0"/>
          <w:color w:val="0F1115"/>
          <w:spacing w:val="-6"/>
          <w:kern w:val="2"/>
          <w:sz w:val="32"/>
          <w:szCs w:val="32"/>
          <w:lang w:val="en-US" w:eastAsia="zh-CN" w:bidi="ar-SA"/>
        </w:rPr>
        <w:t>条件</w:t>
      </w:r>
      <w:r>
        <w:rPr>
          <w:rFonts w:hint="eastAsia" w:ascii="Times New Roman" w:hAnsi="Times New Roman" w:eastAsia="仿宋_GB2312" w:cs="仿宋_GB2312"/>
          <w:i w:val="0"/>
          <w:color w:val="0F1115"/>
          <w:spacing w:val="-6"/>
          <w:kern w:val="2"/>
          <w:sz w:val="32"/>
          <w:szCs w:val="32"/>
          <w:lang w:val="en-US" w:eastAsia="zh-CN" w:bidi="ar-SA"/>
        </w:rPr>
        <w:t>。</w:t>
      </w:r>
    </w:p>
    <w:p>
      <w:pPr>
        <w:numPr>
          <w:ilvl w:val="0"/>
          <w:numId w:val="0"/>
        </w:numPr>
        <w:spacing w:line="590" w:lineRule="exact"/>
        <w:ind w:firstLine="0" w:firstLineChars="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i w:val="0"/>
          <w:color w:val="0F1115"/>
          <w:spacing w:val="-6"/>
          <w:kern w:val="2"/>
          <w:sz w:val="32"/>
          <w:szCs w:val="32"/>
          <w:lang w:val="en-US" w:eastAsia="zh-CN" w:bidi="ar-SA"/>
        </w:rPr>
        <w:t xml:space="preserve">    免于鉴定课题由省财政厅会同省社科联视情况确定结题等次。</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第二十四条</w:t>
      </w:r>
      <w:r>
        <w:rPr>
          <w:rFonts w:hint="eastAsia" w:ascii="Times New Roman" w:hAnsi="Times New Roman" w:eastAsia="仿宋_GB2312" w:cs="仿宋_GB2312"/>
          <w:i w:val="0"/>
          <w:color w:val="0F1115"/>
          <w:spacing w:val="-6"/>
          <w:kern w:val="2"/>
          <w:sz w:val="32"/>
          <w:szCs w:val="32"/>
          <w:lang w:val="en-US" w:eastAsia="zh-CN" w:bidi="ar-SA"/>
        </w:rPr>
        <w:t xml:space="preserve"> 课题评审通过、验收合格后，由省财政厅、省社科联联合出具《贵州省</w:t>
      </w:r>
      <w:r>
        <w:rPr>
          <w:rFonts w:hint="eastAsia" w:ascii="Times New Roman" w:hAnsi="Times New Roman" w:eastAsia="方正仿宋_GB2312" w:cs="方正仿宋_GB2312"/>
          <w:i w:val="0"/>
          <w:color w:val="0F1115"/>
          <w:spacing w:val="-6"/>
          <w:kern w:val="2"/>
          <w:sz w:val="32"/>
          <w:szCs w:val="32"/>
          <w:lang w:val="en-US" w:eastAsia="zh-CN" w:bidi="ar-SA"/>
        </w:rPr>
        <w:t>理论创新课题财会领域科研课题</w:t>
      </w:r>
      <w:r>
        <w:rPr>
          <w:rFonts w:hint="eastAsia" w:ascii="Times New Roman" w:hAnsi="Times New Roman" w:eastAsia="仿宋_GB2312" w:cs="仿宋_GB2312"/>
          <w:i w:val="0"/>
          <w:color w:val="0F1115"/>
          <w:spacing w:val="-6"/>
          <w:kern w:val="2"/>
          <w:sz w:val="32"/>
          <w:szCs w:val="32"/>
          <w:lang w:val="en-US" w:eastAsia="zh-CN" w:bidi="ar-SA"/>
        </w:rPr>
        <w:t>结题证书》，注明结题等次。</w:t>
      </w:r>
    </w:p>
    <w:p>
      <w:pPr>
        <w:spacing w:line="590" w:lineRule="exact"/>
        <w:ind w:firstLine="619" w:firstLineChars="200"/>
        <w:rPr>
          <w:rFonts w:hint="eastAsia" w:ascii="Times New Roman" w:hAnsi="Times New Roman" w:eastAsia="仿宋_GB2312" w:cs="仿宋_GB2312"/>
          <w:b w:val="0"/>
          <w:sz w:val="32"/>
        </w:rPr>
      </w:pPr>
      <w:r>
        <w:rPr>
          <w:rFonts w:hint="eastAsia" w:ascii="Times New Roman" w:hAnsi="Times New Roman" w:eastAsia="仿宋_GB2312" w:cs="仿宋_GB2312"/>
          <w:b/>
          <w:bCs/>
          <w:i w:val="0"/>
          <w:color w:val="0F1115"/>
          <w:spacing w:val="-6"/>
          <w:kern w:val="2"/>
          <w:sz w:val="32"/>
          <w:szCs w:val="32"/>
          <w:lang w:val="en-US" w:eastAsia="zh-CN" w:bidi="ar-SA"/>
        </w:rPr>
        <w:t>第二十五条</w:t>
      </w:r>
      <w:r>
        <w:rPr>
          <w:rFonts w:hint="eastAsia" w:ascii="Times New Roman" w:hAnsi="Times New Roman" w:eastAsia="仿宋_GB2312" w:cs="仿宋_GB2312"/>
          <w:i w:val="0"/>
          <w:color w:val="0F1115"/>
          <w:spacing w:val="-6"/>
          <w:kern w:val="2"/>
          <w:sz w:val="32"/>
          <w:szCs w:val="32"/>
          <w:lang w:val="en-US" w:eastAsia="zh-CN" w:bidi="ar-SA"/>
        </w:rPr>
        <w:t xml:space="preserve"> </w:t>
      </w:r>
      <w:r>
        <w:rPr>
          <w:rFonts w:hint="eastAsia" w:ascii="Times New Roman" w:hAnsi="Times New Roman" w:eastAsia="仿宋_GB2312" w:cs="仿宋_GB2312"/>
          <w:b w:val="0"/>
          <w:sz w:val="32"/>
          <w:lang w:eastAsia="zh-CN"/>
        </w:rPr>
        <w:t>承担单位当年不合格课题率达到</w:t>
      </w:r>
      <w:r>
        <w:rPr>
          <w:rFonts w:hint="eastAsia" w:ascii="Times New Roman" w:hAnsi="Times New Roman" w:eastAsia="仿宋_GB2312" w:cs="仿宋_GB2312"/>
          <w:b w:val="0"/>
          <w:sz w:val="32"/>
          <w:lang w:val="en-US" w:eastAsia="zh-CN"/>
        </w:rPr>
        <w:t>50%以上的，</w:t>
      </w:r>
      <w:r>
        <w:rPr>
          <w:rFonts w:hint="eastAsia" w:ascii="Times New Roman" w:hAnsi="Times New Roman" w:eastAsia="仿宋_GB2312" w:cs="仿宋_GB2312"/>
          <w:b w:val="0"/>
          <w:sz w:val="32"/>
        </w:rPr>
        <w:t>1年内不再受理该承担单位的申请。</w:t>
      </w:r>
    </w:p>
    <w:p>
      <w:pPr>
        <w:spacing w:line="590" w:lineRule="exact"/>
        <w:ind w:firstLine="616" w:firstLineChars="200"/>
        <w:rPr>
          <w:rFonts w:hint="eastAsia" w:ascii="Times New Roman" w:hAnsi="Times New Roman" w:eastAsia="仿宋_GB2312" w:cs="仿宋_GB2312"/>
          <w:i w:val="0"/>
          <w:color w:val="0F1115"/>
          <w:spacing w:val="-6"/>
          <w:kern w:val="2"/>
          <w:sz w:val="32"/>
          <w:szCs w:val="32"/>
          <w:lang w:val="en-US" w:eastAsia="zh-CN" w:bidi="ar-SA"/>
        </w:rPr>
      </w:pPr>
    </w:p>
    <w:p>
      <w:pPr>
        <w:numPr>
          <w:ilvl w:val="0"/>
          <w:numId w:val="1"/>
        </w:numPr>
        <w:spacing w:line="590" w:lineRule="exact"/>
        <w:jc w:val="center"/>
        <w:rPr>
          <w:rFonts w:hint="eastAsia" w:ascii="黑体" w:hAnsi="黑体" w:eastAsia="黑体" w:cs="黑体"/>
          <w:kern w:val="44"/>
          <w:sz w:val="32"/>
          <w:szCs w:val="32"/>
          <w:lang w:val="en-US" w:eastAsia="zh-CN" w:bidi="ar-SA"/>
        </w:rPr>
      </w:pPr>
      <w:r>
        <w:rPr>
          <w:rFonts w:hint="eastAsia" w:ascii="黑体" w:hAnsi="黑体" w:eastAsia="黑体" w:cs="黑体"/>
          <w:kern w:val="44"/>
          <w:sz w:val="32"/>
          <w:szCs w:val="32"/>
          <w:lang w:val="en-US" w:eastAsia="zh-CN" w:bidi="ar-SA"/>
        </w:rPr>
        <w:t>知识产权与成果运用</w:t>
      </w:r>
    </w:p>
    <w:p>
      <w:pPr>
        <w:numPr>
          <w:ilvl w:val="-1"/>
          <w:numId w:val="0"/>
        </w:numPr>
        <w:spacing w:line="590" w:lineRule="exact"/>
        <w:jc w:val="both"/>
        <w:rPr>
          <w:rFonts w:hint="eastAsia" w:ascii="黑体" w:hAnsi="黑体" w:eastAsia="黑体" w:cs="黑体"/>
          <w:kern w:val="44"/>
          <w:sz w:val="32"/>
          <w:szCs w:val="32"/>
          <w:lang w:val="en-US" w:eastAsia="zh-CN" w:bidi="ar-SA"/>
        </w:rPr>
      </w:pPr>
    </w:p>
    <w:p>
      <w:pPr>
        <w:spacing w:line="590" w:lineRule="exact"/>
        <w:ind w:firstLine="619"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第二十六条</w:t>
      </w:r>
      <w:r>
        <w:rPr>
          <w:rFonts w:hint="eastAsia" w:ascii="Times New Roman" w:hAnsi="Times New Roman" w:eastAsia="方正仿宋_GB2312" w:cs="方正仿宋_GB2312"/>
          <w:i w:val="0"/>
          <w:color w:val="0F1115"/>
          <w:spacing w:val="-6"/>
          <w:kern w:val="2"/>
          <w:sz w:val="32"/>
          <w:szCs w:val="32"/>
          <w:lang w:val="en-US" w:eastAsia="zh-CN" w:bidi="ar-SA"/>
        </w:rPr>
        <w:t xml:space="preserve"> 课题成果由省财政厅、省社科联与课题组共享，共享方式由各方协商约定。课题承担单位及成员公开发表或向相关部门报送或展示课题成果时，均应在显著位置标明“贵州省理论创新课题财会领域科研课题”字样及课题编号。</w:t>
      </w:r>
    </w:p>
    <w:p>
      <w:pPr>
        <w:spacing w:line="590" w:lineRule="exact"/>
        <w:ind w:firstLine="619" w:firstLineChars="200"/>
        <w:rPr>
          <w:rFonts w:hint="eastAsia" w:ascii="Times New Roman" w:hAnsi="Times New Roman" w:eastAsia="方正仿宋_GB2312" w:cs="方正仿宋_GB2312"/>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第二十七条</w:t>
      </w:r>
      <w:r>
        <w:rPr>
          <w:rFonts w:hint="eastAsia" w:ascii="Times New Roman" w:hAnsi="Times New Roman" w:eastAsia="方正仿宋_GB2312" w:cs="方正仿宋_GB2312"/>
          <w:i w:val="0"/>
          <w:color w:val="0F1115"/>
          <w:spacing w:val="-6"/>
          <w:kern w:val="2"/>
          <w:sz w:val="32"/>
          <w:szCs w:val="32"/>
          <w:lang w:val="en-US" w:eastAsia="zh-CN" w:bidi="ar-SA"/>
        </w:rPr>
        <w:t xml:space="preserve"> 省财政厅会同省社科联负责优秀成果推广运用，形式包括：汇编优秀成果、择优向财政部及国内会计刊物推荐、在官方网站和微信公众号开辟专栏宣传、邀请重大成果负责人进行专题讲座与成果汇报、呈报优秀成果为有关部门提供决策参考、推动优秀成果纳入省哲学社会科学优秀成果评奖范围等。</w:t>
      </w:r>
    </w:p>
    <w:p>
      <w:pPr>
        <w:spacing w:line="590" w:lineRule="exact"/>
        <w:ind w:firstLine="616" w:firstLineChars="200"/>
        <w:rPr>
          <w:rFonts w:hint="eastAsia" w:ascii="Times New Roman" w:hAnsi="Times New Roman" w:eastAsia="方正仿宋_GB2312" w:cs="方正仿宋_GB2312"/>
          <w:i w:val="0"/>
          <w:color w:val="0F1115"/>
          <w:spacing w:val="-6"/>
          <w:kern w:val="2"/>
          <w:sz w:val="32"/>
          <w:szCs w:val="32"/>
          <w:lang w:val="en-US" w:eastAsia="zh-CN" w:bidi="ar-SA"/>
        </w:rPr>
      </w:pPr>
    </w:p>
    <w:p>
      <w:pPr>
        <w:numPr>
          <w:ilvl w:val="0"/>
          <w:numId w:val="1"/>
        </w:numPr>
        <w:spacing w:line="590" w:lineRule="exact"/>
        <w:jc w:val="center"/>
        <w:rPr>
          <w:rFonts w:hint="eastAsia" w:ascii="黑体" w:hAnsi="黑体" w:eastAsia="黑体" w:cs="黑体"/>
          <w:kern w:val="44"/>
          <w:sz w:val="32"/>
          <w:szCs w:val="32"/>
          <w:lang w:val="en-US" w:eastAsia="zh-CN" w:bidi="ar-SA"/>
        </w:rPr>
      </w:pPr>
      <w:r>
        <w:rPr>
          <w:rFonts w:hint="eastAsia" w:ascii="黑体" w:hAnsi="黑体" w:eastAsia="黑体" w:cs="黑体"/>
          <w:kern w:val="44"/>
          <w:sz w:val="32"/>
          <w:szCs w:val="32"/>
          <w:lang w:val="en-US" w:eastAsia="zh-CN" w:bidi="ar-SA"/>
        </w:rPr>
        <w:t>经费管理与监督</w:t>
      </w:r>
    </w:p>
    <w:p>
      <w:pPr>
        <w:numPr>
          <w:ilvl w:val="-1"/>
          <w:numId w:val="0"/>
        </w:numPr>
        <w:spacing w:line="590" w:lineRule="exact"/>
        <w:jc w:val="both"/>
        <w:rPr>
          <w:rFonts w:hint="eastAsia" w:ascii="黑体" w:hAnsi="黑体" w:eastAsia="黑体" w:cs="黑体"/>
          <w:kern w:val="44"/>
          <w:sz w:val="32"/>
          <w:szCs w:val="32"/>
          <w:lang w:val="en-US" w:eastAsia="zh-CN" w:bidi="ar-SA"/>
        </w:rPr>
      </w:pP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第二十八条</w:t>
      </w:r>
      <w:r>
        <w:rPr>
          <w:rFonts w:hint="eastAsia" w:ascii="Times New Roman" w:hAnsi="Times New Roman" w:eastAsia="仿宋_GB2312" w:cs="仿宋_GB2312"/>
          <w:i w:val="0"/>
          <w:color w:val="0F1115"/>
          <w:spacing w:val="-6"/>
          <w:kern w:val="2"/>
          <w:sz w:val="32"/>
          <w:szCs w:val="32"/>
          <w:lang w:val="en-US" w:eastAsia="zh-CN" w:bidi="ar-SA"/>
        </w:rPr>
        <w:t xml:space="preserve"> 财会课题经费</w:t>
      </w:r>
      <w:bookmarkStart w:id="0" w:name="_GoBack"/>
      <w:bookmarkEnd w:id="0"/>
      <w:r>
        <w:rPr>
          <w:rFonts w:hint="eastAsia" w:ascii="Times New Roman" w:hAnsi="Times New Roman" w:eastAsia="仿宋_GB2312" w:cs="仿宋_GB2312"/>
          <w:i w:val="0"/>
          <w:color w:val="0F1115"/>
          <w:spacing w:val="-6"/>
          <w:kern w:val="2"/>
          <w:sz w:val="32"/>
          <w:szCs w:val="32"/>
          <w:lang w:val="en-US" w:eastAsia="zh-CN" w:bidi="ar-SA"/>
        </w:rPr>
        <w:t>应严格按照所在单位财务制度和科研经费管理规定使用。</w:t>
      </w:r>
    </w:p>
    <w:p>
      <w:pPr>
        <w:spacing w:line="590" w:lineRule="exact"/>
        <w:ind w:firstLine="619" w:firstLineChars="200"/>
        <w:rPr>
          <w:rFonts w:hint="eastAsia" w:ascii="Times New Roman" w:hAnsi="Times New Roman" w:eastAsia="仿宋_GB2312" w:cs="仿宋_GB2312"/>
          <w:i w:val="0"/>
          <w:color w:val="0F1115"/>
          <w:spacing w:val="-6"/>
          <w:kern w:val="2"/>
          <w:sz w:val="32"/>
          <w:szCs w:val="32"/>
          <w:highlight w:val="yellow"/>
          <w:lang w:val="en-US" w:eastAsia="zh-CN" w:bidi="ar-SA"/>
        </w:rPr>
      </w:pPr>
      <w:r>
        <w:rPr>
          <w:rFonts w:hint="eastAsia" w:ascii="Times New Roman" w:hAnsi="Times New Roman" w:eastAsia="仿宋_GB2312" w:cs="仿宋_GB2312"/>
          <w:b/>
          <w:bCs/>
          <w:i w:val="0"/>
          <w:color w:val="0F1115"/>
          <w:spacing w:val="-6"/>
          <w:kern w:val="2"/>
          <w:sz w:val="32"/>
          <w:szCs w:val="32"/>
          <w:highlight w:val="none"/>
          <w:lang w:val="en-US" w:eastAsia="zh-CN" w:bidi="ar-SA"/>
        </w:rPr>
        <w:t>第二十九条</w:t>
      </w:r>
      <w:r>
        <w:rPr>
          <w:rFonts w:hint="eastAsia" w:ascii="Times New Roman" w:hAnsi="Times New Roman" w:eastAsia="仿宋_GB2312" w:cs="仿宋_GB2312"/>
          <w:i w:val="0"/>
          <w:color w:val="0F1115"/>
          <w:spacing w:val="-6"/>
          <w:kern w:val="2"/>
          <w:sz w:val="32"/>
          <w:szCs w:val="32"/>
          <w:highlight w:val="none"/>
          <w:lang w:val="en-US" w:eastAsia="zh-CN" w:bidi="ar-SA"/>
        </w:rPr>
        <w:t xml:space="preserve"> 经费使用范围包括：资料费、数据采集费、会议费、差旅费、设备费、专家咨询费、劳务费、印刷出版费及其他与课题研究直接相关的费用</w:t>
      </w:r>
      <w:r>
        <w:rPr>
          <w:rFonts w:hint="eastAsia" w:ascii="Times New Roman" w:hAnsi="Times New Roman" w:eastAsia="仿宋_GB2312" w:cs="仿宋_GB2312"/>
          <w:b w:val="0"/>
          <w:sz w:val="32"/>
          <w:highlight w:val="none"/>
        </w:rPr>
        <w:t>。</w:t>
      </w:r>
    </w:p>
    <w:p>
      <w:pPr>
        <w:spacing w:line="590" w:lineRule="exact"/>
        <w:ind w:firstLine="619" w:firstLineChars="200"/>
        <w:rPr>
          <w:rFonts w:hint="eastAsia" w:ascii="Times New Roman" w:hAnsi="Times New Roman" w:eastAsia="仿宋_GB2312" w:cs="仿宋_GB2312"/>
          <w:i w:val="0"/>
          <w:color w:val="0F1115"/>
          <w:spacing w:val="-6"/>
          <w:kern w:val="2"/>
          <w:sz w:val="32"/>
          <w:szCs w:val="32"/>
          <w:lang w:val="en-US" w:eastAsia="zh-CN" w:bidi="ar-SA"/>
        </w:rPr>
      </w:pPr>
      <w:r>
        <w:rPr>
          <w:rFonts w:hint="eastAsia" w:ascii="Times New Roman" w:hAnsi="Times New Roman" w:eastAsia="仿宋_GB2312" w:cs="仿宋_GB2312"/>
          <w:b/>
          <w:bCs/>
          <w:i w:val="0"/>
          <w:color w:val="0F1115"/>
          <w:spacing w:val="-6"/>
          <w:kern w:val="2"/>
          <w:sz w:val="32"/>
          <w:szCs w:val="32"/>
          <w:lang w:val="en-US" w:eastAsia="zh-CN" w:bidi="ar-SA"/>
        </w:rPr>
        <w:t>第三十条</w:t>
      </w:r>
      <w:r>
        <w:rPr>
          <w:rFonts w:hint="eastAsia" w:ascii="Times New Roman" w:hAnsi="Times New Roman" w:eastAsia="仿宋_GB2312" w:cs="仿宋_GB2312"/>
          <w:i w:val="0"/>
          <w:color w:val="0F1115"/>
          <w:spacing w:val="-6"/>
          <w:kern w:val="2"/>
          <w:sz w:val="32"/>
          <w:szCs w:val="32"/>
          <w:lang w:val="en-US" w:eastAsia="zh-CN" w:bidi="ar-SA"/>
        </w:rPr>
        <w:t xml:space="preserve"> 负责人对经费支出的真实性、合规性、合理性负直接责任；承担单位承担日常监管主体责任。发现违法违规线索可向省财政厅、省社科联举报。</w:t>
      </w:r>
    </w:p>
    <w:p>
      <w:pPr>
        <w:spacing w:line="590" w:lineRule="exact"/>
        <w:ind w:firstLine="619" w:firstLineChars="200"/>
        <w:rPr>
          <w:rFonts w:hint="eastAsia" w:ascii="Times New Roman" w:hAnsi="Times New Roman" w:eastAsia="方正仿宋_GB2312" w:cs="方正仿宋_GB2312"/>
          <w:b w:val="0"/>
          <w:bCs w:val="0"/>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第三十一条</w:t>
      </w:r>
      <w:r>
        <w:rPr>
          <w:rFonts w:hint="eastAsia" w:ascii="Times New Roman" w:hAnsi="Times New Roman" w:eastAsia="方正仿宋_GB2312" w:cs="方正仿宋_GB2312"/>
          <w:b w:val="0"/>
          <w:bCs w:val="0"/>
          <w:i w:val="0"/>
          <w:color w:val="0F1115"/>
          <w:spacing w:val="-6"/>
          <w:kern w:val="2"/>
          <w:sz w:val="32"/>
          <w:szCs w:val="32"/>
          <w:lang w:val="en-US" w:eastAsia="zh-CN" w:bidi="ar-SA"/>
        </w:rPr>
        <w:t xml:space="preserve"> 有下列情形之一的，由省财政厅会同省社科联予以处理：</w:t>
      </w:r>
    </w:p>
    <w:p>
      <w:pPr>
        <w:spacing w:line="590" w:lineRule="exact"/>
        <w:ind w:firstLine="616" w:firstLineChars="200"/>
        <w:rPr>
          <w:rFonts w:hint="default" w:ascii="Times New Roman" w:hAnsi="Times New Roman" w:eastAsia="方正仿宋_GB2312" w:cs="方正仿宋_GB2312"/>
          <w:b w:val="0"/>
          <w:bCs w:val="0"/>
          <w:i w:val="0"/>
          <w:color w:val="0F1115"/>
          <w:spacing w:val="-6"/>
          <w:kern w:val="2"/>
          <w:sz w:val="32"/>
          <w:szCs w:val="32"/>
          <w:lang w:val="en-US" w:eastAsia="zh-CN" w:bidi="ar-SA"/>
        </w:rPr>
      </w:pPr>
      <w:r>
        <w:rPr>
          <w:rFonts w:hint="eastAsia" w:ascii="Times New Roman" w:hAnsi="Times New Roman" w:eastAsia="方正仿宋_GB2312" w:cs="方正仿宋_GB2312"/>
          <w:b w:val="0"/>
          <w:bCs w:val="0"/>
          <w:i w:val="0"/>
          <w:color w:val="0F1115"/>
          <w:spacing w:val="-6"/>
          <w:kern w:val="2"/>
          <w:sz w:val="32"/>
          <w:szCs w:val="32"/>
          <w:lang w:val="en-US" w:eastAsia="zh-CN" w:bidi="ar-SA"/>
        </w:rPr>
        <w:t>（一）课题负责人擅自终止立项课题研究、自行申请撤项、不按时结项或结题评审被评定为“不合格”；</w:t>
      </w:r>
    </w:p>
    <w:p>
      <w:pPr>
        <w:spacing w:line="590" w:lineRule="exact"/>
        <w:ind w:firstLine="616" w:firstLineChars="200"/>
        <w:rPr>
          <w:rFonts w:hint="eastAsia" w:ascii="Times New Roman" w:hAnsi="Times New Roman" w:eastAsia="方正仿宋_GB2312" w:cs="方正仿宋_GB2312"/>
          <w:b w:val="0"/>
          <w:bCs w:val="0"/>
          <w:i w:val="0"/>
          <w:color w:val="0F1115"/>
          <w:spacing w:val="-6"/>
          <w:kern w:val="2"/>
          <w:sz w:val="32"/>
          <w:szCs w:val="32"/>
          <w:lang w:val="en-US" w:eastAsia="zh-CN" w:bidi="ar-SA"/>
        </w:rPr>
      </w:pPr>
      <w:r>
        <w:rPr>
          <w:rFonts w:hint="eastAsia" w:ascii="Times New Roman" w:hAnsi="Times New Roman" w:eastAsia="方正仿宋_GB2312" w:cs="方正仿宋_GB2312"/>
          <w:b w:val="0"/>
          <w:bCs w:val="0"/>
          <w:i w:val="0"/>
          <w:color w:val="0F1115"/>
          <w:spacing w:val="-6"/>
          <w:kern w:val="2"/>
          <w:sz w:val="32"/>
          <w:szCs w:val="32"/>
          <w:lang w:val="en-US" w:eastAsia="zh-CN" w:bidi="ar-SA"/>
        </w:rPr>
        <w:t>（二）研究成果存在剽窃、抄袭、数据造假等学术不端行为的；</w:t>
      </w:r>
    </w:p>
    <w:p>
      <w:pPr>
        <w:spacing w:line="590" w:lineRule="exact"/>
        <w:ind w:firstLine="616" w:firstLineChars="200"/>
        <w:rPr>
          <w:rFonts w:hint="eastAsia" w:ascii="Times New Roman" w:hAnsi="Times New Roman" w:eastAsia="方正仿宋_GB2312" w:cs="方正仿宋_GB2312"/>
          <w:b w:val="0"/>
          <w:bCs w:val="0"/>
          <w:i w:val="0"/>
          <w:color w:val="0F1115"/>
          <w:spacing w:val="-6"/>
          <w:kern w:val="2"/>
          <w:sz w:val="32"/>
          <w:szCs w:val="32"/>
          <w:lang w:val="en-US" w:eastAsia="zh-CN" w:bidi="ar-SA"/>
        </w:rPr>
      </w:pPr>
      <w:r>
        <w:rPr>
          <w:rFonts w:hint="eastAsia" w:ascii="Times New Roman" w:hAnsi="Times New Roman" w:eastAsia="方正仿宋_GB2312" w:cs="方正仿宋_GB2312"/>
          <w:b w:val="0"/>
          <w:bCs w:val="0"/>
          <w:i w:val="0"/>
          <w:color w:val="0F1115"/>
          <w:spacing w:val="-6"/>
          <w:kern w:val="2"/>
          <w:sz w:val="32"/>
          <w:szCs w:val="32"/>
          <w:lang w:val="en-US" w:eastAsia="zh-CN" w:bidi="ar-SA"/>
        </w:rPr>
        <w:t>（三）违反国家法律法规或者存在其他严重失信行为，造成不良影响的。</w:t>
      </w:r>
    </w:p>
    <w:p>
      <w:pPr>
        <w:spacing w:line="590" w:lineRule="exact"/>
        <w:ind w:firstLine="619" w:firstLineChars="200"/>
        <w:rPr>
          <w:rFonts w:hint="eastAsia" w:ascii="Times New Roman" w:hAnsi="Times New Roman" w:eastAsia="方正仿宋_GB2312" w:cs="方正仿宋_GB2312"/>
          <w:b w:val="0"/>
          <w:bCs w:val="0"/>
          <w:i w:val="0"/>
          <w:color w:val="0F1115"/>
          <w:spacing w:val="-6"/>
          <w:kern w:val="2"/>
          <w:sz w:val="32"/>
          <w:szCs w:val="32"/>
          <w:lang w:val="en-US" w:eastAsia="zh-CN" w:bidi="ar-SA"/>
        </w:rPr>
      </w:pPr>
      <w:r>
        <w:rPr>
          <w:rFonts w:hint="eastAsia" w:ascii="Times New Roman" w:hAnsi="Times New Roman" w:eastAsia="方正仿宋_GB2312" w:cs="方正仿宋_GB2312"/>
          <w:b/>
          <w:bCs/>
          <w:i w:val="0"/>
          <w:color w:val="0F1115"/>
          <w:spacing w:val="-6"/>
          <w:kern w:val="2"/>
          <w:sz w:val="32"/>
          <w:szCs w:val="32"/>
          <w:lang w:val="en-US" w:eastAsia="zh-CN" w:bidi="ar-SA"/>
        </w:rPr>
        <w:t>第三十二条</w:t>
      </w:r>
      <w:r>
        <w:rPr>
          <w:rFonts w:hint="eastAsia" w:ascii="Times New Roman" w:hAnsi="Times New Roman" w:eastAsia="方正仿宋_GB2312" w:cs="方正仿宋_GB2312"/>
          <w:b w:val="0"/>
          <w:bCs w:val="0"/>
          <w:i w:val="0"/>
          <w:color w:val="0F1115"/>
          <w:spacing w:val="-6"/>
          <w:kern w:val="2"/>
          <w:sz w:val="32"/>
          <w:szCs w:val="32"/>
          <w:lang w:val="en-US" w:eastAsia="zh-CN" w:bidi="ar-SA"/>
        </w:rPr>
        <w:t xml:space="preserve"> 出现本办法第三十一条所列情形之一的，应当取消课题立项，3 年内不得申报省财政厅、省社科联相关课题；视情节轻重，可并处通报批评、限制参与省财政厅、省社科联、省会计学会组织的其他相关工作。涉嫌违纪违法的，移送有关部门处理。</w:t>
      </w:r>
    </w:p>
    <w:p>
      <w:pPr>
        <w:spacing w:line="590" w:lineRule="exact"/>
        <w:ind w:firstLine="616" w:firstLineChars="200"/>
        <w:rPr>
          <w:rFonts w:hint="eastAsia" w:ascii="Times New Roman" w:hAnsi="Times New Roman" w:eastAsia="方正仿宋_GB2312" w:cs="方正仿宋_GB2312"/>
          <w:b w:val="0"/>
          <w:bCs w:val="0"/>
          <w:i w:val="0"/>
          <w:color w:val="0F1115"/>
          <w:spacing w:val="-6"/>
          <w:kern w:val="2"/>
          <w:sz w:val="32"/>
          <w:szCs w:val="32"/>
          <w:lang w:val="en-US" w:eastAsia="zh-CN" w:bidi="ar-SA"/>
        </w:rPr>
      </w:pPr>
    </w:p>
    <w:p>
      <w:pPr>
        <w:numPr>
          <w:ilvl w:val="0"/>
          <w:numId w:val="1"/>
        </w:numPr>
        <w:spacing w:line="590" w:lineRule="exact"/>
        <w:jc w:val="center"/>
        <w:rPr>
          <w:rFonts w:hint="eastAsia" w:ascii="黑体" w:hAnsi="黑体" w:eastAsia="黑体" w:cs="黑体"/>
          <w:kern w:val="44"/>
          <w:sz w:val="32"/>
          <w:szCs w:val="32"/>
          <w:lang w:val="en-US" w:eastAsia="zh-CN" w:bidi="ar-SA"/>
        </w:rPr>
      </w:pPr>
      <w:r>
        <w:rPr>
          <w:rFonts w:hint="eastAsia" w:ascii="黑体" w:hAnsi="黑体" w:eastAsia="黑体" w:cs="黑体"/>
          <w:kern w:val="44"/>
          <w:sz w:val="32"/>
          <w:szCs w:val="32"/>
          <w:lang w:val="en-US" w:eastAsia="zh-CN" w:bidi="ar-SA"/>
        </w:rPr>
        <w:t>附则</w:t>
      </w:r>
    </w:p>
    <w:p>
      <w:pPr>
        <w:numPr>
          <w:ilvl w:val="-1"/>
          <w:numId w:val="0"/>
        </w:numPr>
        <w:spacing w:line="590" w:lineRule="exact"/>
        <w:jc w:val="both"/>
        <w:rPr>
          <w:rFonts w:hint="eastAsia" w:ascii="黑体" w:hAnsi="黑体" w:eastAsia="黑体" w:cs="黑体"/>
          <w:kern w:val="44"/>
          <w:sz w:val="32"/>
          <w:szCs w:val="32"/>
          <w:lang w:val="en-US" w:eastAsia="zh-CN" w:bidi="ar-SA"/>
        </w:rPr>
      </w:pPr>
    </w:p>
    <w:p>
      <w:pPr>
        <w:spacing w:line="590" w:lineRule="exact"/>
        <w:ind w:firstLine="619" w:firstLineChars="200"/>
        <w:rPr>
          <w:rFonts w:hint="eastAsia" w:ascii="方正仿宋_GB2312" w:hAnsi="方正仿宋_GB2312" w:eastAsia="方正仿宋_GB2312" w:cs="方正仿宋_GB2312"/>
          <w:i w:val="0"/>
          <w:color w:val="0F1115"/>
          <w:spacing w:val="-6"/>
          <w:kern w:val="2"/>
          <w:sz w:val="32"/>
          <w:szCs w:val="32"/>
          <w:lang w:val="en-US" w:eastAsia="zh-CN" w:bidi="ar-SA"/>
        </w:rPr>
      </w:pPr>
      <w:r>
        <w:rPr>
          <w:rFonts w:hint="eastAsia" w:ascii="方正仿宋_GB2312" w:hAnsi="方正仿宋_GB2312" w:eastAsia="方正仿宋_GB2312" w:cs="方正仿宋_GB2312"/>
          <w:b/>
          <w:bCs/>
          <w:i w:val="0"/>
          <w:color w:val="0F1115"/>
          <w:spacing w:val="-6"/>
          <w:kern w:val="2"/>
          <w:sz w:val="32"/>
          <w:szCs w:val="32"/>
          <w:lang w:val="en-US" w:eastAsia="zh-CN" w:bidi="ar-SA"/>
        </w:rPr>
        <w:t>第三十三条</w:t>
      </w:r>
      <w:r>
        <w:rPr>
          <w:rFonts w:hint="eastAsia" w:ascii="方正仿宋_GB2312" w:hAnsi="方正仿宋_GB2312" w:eastAsia="方正仿宋_GB2312" w:cs="方正仿宋_GB2312"/>
          <w:i w:val="0"/>
          <w:color w:val="0F1115"/>
          <w:spacing w:val="-6"/>
          <w:kern w:val="2"/>
          <w:sz w:val="32"/>
          <w:szCs w:val="32"/>
          <w:lang w:val="en-US" w:eastAsia="zh-CN" w:bidi="ar-SA"/>
        </w:rPr>
        <w:t xml:space="preserve"> 本办法由省财政厅、省社科联负责解释。本办法自发布之日起施行。</w:t>
      </w:r>
    </w:p>
    <w:p>
      <w:pPr>
        <w:spacing w:line="590" w:lineRule="exact"/>
        <w:ind w:firstLine="619" w:firstLineChars="200"/>
        <w:rPr>
          <w:rFonts w:hint="default" w:ascii="仿宋_GB2312" w:hAnsi="仿宋_GB2312" w:eastAsia="仿宋_GB2312" w:cs="仿宋_GB2312"/>
          <w:i w:val="0"/>
          <w:color w:val="0F1115"/>
          <w:spacing w:val="-6"/>
          <w:kern w:val="2"/>
          <w:sz w:val="32"/>
          <w:szCs w:val="32"/>
          <w:lang w:val="en-US" w:eastAsia="zh-CN" w:bidi="ar-SA"/>
        </w:rPr>
      </w:pPr>
      <w:r>
        <w:rPr>
          <w:rFonts w:hint="eastAsia" w:ascii="仿宋_GB2312" w:hAnsi="仿宋_GB2312" w:eastAsia="仿宋_GB2312" w:cs="仿宋_GB2312"/>
          <w:b/>
          <w:bCs/>
          <w:i w:val="0"/>
          <w:color w:val="0F1115"/>
          <w:spacing w:val="-6"/>
          <w:kern w:val="2"/>
          <w:sz w:val="32"/>
          <w:szCs w:val="32"/>
          <w:lang w:val="en-US" w:eastAsia="zh-CN" w:bidi="ar-SA"/>
        </w:rPr>
        <w:t>第三十四条</w:t>
      </w:r>
      <w:r>
        <w:rPr>
          <w:rFonts w:hint="eastAsia" w:ascii="仿宋_GB2312" w:hAnsi="仿宋_GB2312" w:eastAsia="仿宋_GB2312" w:cs="仿宋_GB2312"/>
          <w:i w:val="0"/>
          <w:color w:val="0F1115"/>
          <w:spacing w:val="-6"/>
          <w:kern w:val="2"/>
          <w:sz w:val="32"/>
          <w:szCs w:val="32"/>
          <w:lang w:val="en-US" w:eastAsia="zh-CN" w:bidi="ar-SA"/>
        </w:rPr>
        <w:t xml:space="preserve"> </w:t>
      </w:r>
      <w:r>
        <w:rPr>
          <w:rFonts w:hint="eastAsia" w:ascii="仿宋_GB2312" w:hAnsi="仿宋_GB2312" w:eastAsia="仿宋_GB2312" w:cs="仿宋_GB2312"/>
          <w:b w:val="0"/>
          <w:bCs w:val="0"/>
          <w:i w:val="0"/>
          <w:color w:val="0F1115"/>
          <w:spacing w:val="-6"/>
          <w:kern w:val="2"/>
          <w:sz w:val="32"/>
          <w:szCs w:val="32"/>
          <w:lang w:val="en-US" w:eastAsia="zh-CN" w:bidi="ar-SA"/>
        </w:rPr>
        <w:t>本办法作出具体规定的，按照本办法执行；本办法未作规定的，按照《贵州省理论创新课题管理办法》执行。</w:t>
      </w:r>
    </w:p>
    <w:p>
      <w:pPr>
        <w:spacing w:line="590" w:lineRule="exact"/>
        <w:ind w:firstLine="616" w:firstLineChars="200"/>
        <w:rPr>
          <w:rFonts w:hint="eastAsia" w:ascii="方正仿宋_GB2312" w:hAnsi="方正仿宋_GB2312" w:eastAsia="方正仿宋_GB2312" w:cs="方正仿宋_GB2312"/>
          <w:i w:val="0"/>
          <w:color w:val="0F1115"/>
          <w:spacing w:val="-6"/>
          <w:kern w:val="2"/>
          <w:sz w:val="32"/>
          <w:szCs w:val="32"/>
          <w:lang w:val="en-US" w:eastAsia="zh-CN" w:bidi="ar-SA"/>
        </w:rPr>
      </w:pPr>
    </w:p>
    <w:sectPr>
      <w:footerReference r:id="rId3" w:type="default"/>
      <w:pgSz w:w="11906" w:h="16838"/>
      <w:pgMar w:top="1928" w:right="1474" w:bottom="1928" w:left="1587"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D8B76D-F1E4-4C1A-BAE8-44BD0108071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A9A0D60-8127-4F84-A331-0A74FA274871}"/>
  </w:font>
  <w:font w:name="仿宋">
    <w:panose1 w:val="02010609060101010101"/>
    <w:charset w:val="86"/>
    <w:family w:val="auto"/>
    <w:pitch w:val="default"/>
    <w:sig w:usb0="800002BF" w:usb1="38CF7CFA" w:usb2="00000016" w:usb3="00000000" w:csb0="00040001"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7349A7EE-FA63-4B92-8162-8FD1B2CF96CE}"/>
  </w:font>
  <w:font w:name="仿宋_GB2312">
    <w:panose1 w:val="02010609030101010101"/>
    <w:charset w:val="86"/>
    <w:family w:val="auto"/>
    <w:pitch w:val="default"/>
    <w:sig w:usb0="00000001" w:usb1="080E0000" w:usb2="00000000" w:usb3="00000000" w:csb0="00040000" w:csb1="00000000"/>
    <w:embedRegular r:id="rId4" w:fontKey="{3787EE07-5271-4FE5-ABD1-CB0A2A7D694A}"/>
  </w:font>
  <w:font w:name="方正仿宋_GB2312">
    <w:altName w:val="仿宋"/>
    <w:panose1 w:val="02000000000000000000"/>
    <w:charset w:val="86"/>
    <w:family w:val="auto"/>
    <w:pitch w:val="default"/>
    <w:sig w:usb0="00000000" w:usb1="00000000" w:usb2="00000012" w:usb3="00000000" w:csb0="00040001" w:csb1="00000000"/>
    <w:embedRegular r:id="rId5" w:fontKey="{2575624B-79C7-4C4D-B859-63A4D5B9A388}"/>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-406400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仿宋_GB2312"/>
                              <w:strike w:val="0"/>
                              <w:u w:val="none"/>
                              <w:lang w:eastAsia="zh-CN"/>
                            </w:rPr>
                          </w:pPr>
                          <w:r>
                            <w:rPr>
                              <w:rFonts w:hint="eastAsia" w:ascii="宋体" w:hAnsi="宋体" w:eastAsia="宋体"/>
                              <w:color w:val="auto"/>
                              <w:sz w:val="28"/>
                              <w:szCs w:val="28"/>
                              <w:u w:val="none"/>
                            </w:rPr>
                            <w:t xml:space="preserve">— </w:t>
                          </w:r>
                          <w:r>
                            <w:rPr>
                              <w:rFonts w:ascii="宋体" w:hAnsi="宋体" w:eastAsia="宋体"/>
                              <w:color w:val="auto"/>
                              <w:sz w:val="28"/>
                              <w:szCs w:val="28"/>
                              <w:u w:val="none"/>
                            </w:rPr>
                            <w:fldChar w:fldCharType="begin"/>
                          </w:r>
                          <w:r>
                            <w:rPr>
                              <w:rFonts w:ascii="宋体" w:hAnsi="宋体" w:eastAsia="宋体"/>
                              <w:color w:val="auto"/>
                              <w:sz w:val="28"/>
                              <w:szCs w:val="28"/>
                              <w:u w:val="none"/>
                            </w:rPr>
                            <w:instrText xml:space="preserve">PAGE   \* MERGEFORMAT</w:instrText>
                          </w:r>
                          <w:r>
                            <w:rPr>
                              <w:rFonts w:ascii="宋体" w:hAnsi="宋体" w:eastAsia="宋体"/>
                              <w:color w:val="auto"/>
                              <w:sz w:val="28"/>
                              <w:szCs w:val="28"/>
                              <w:u w:val="none"/>
                            </w:rPr>
                            <w:fldChar w:fldCharType="separate"/>
                          </w:r>
                          <w:r>
                            <w:rPr>
                              <w:rFonts w:ascii="宋体" w:hAnsi="宋体" w:eastAsia="宋体"/>
                              <w:color w:val="auto"/>
                              <w:sz w:val="28"/>
                              <w:szCs w:val="28"/>
                              <w:u w:val="none"/>
                              <w:lang w:val="zh-CN"/>
                            </w:rPr>
                            <w:t>1</w:t>
                          </w:r>
                          <w:r>
                            <w:rPr>
                              <w:rFonts w:ascii="宋体" w:hAnsi="宋体" w:eastAsia="宋体"/>
                              <w:color w:val="auto"/>
                              <w:sz w:val="28"/>
                              <w:szCs w:val="28"/>
                              <w:u w:val="none"/>
                            </w:rPr>
                            <w:fldChar w:fldCharType="end"/>
                          </w:r>
                          <w:r>
                            <w:rPr>
                              <w:rFonts w:hint="eastAsia" w:ascii="宋体" w:hAnsi="宋体" w:eastAsia="宋体"/>
                              <w:color w:val="auto"/>
                              <w:sz w:val="28"/>
                              <w:szCs w:val="28"/>
                              <w:u w:val="none"/>
                            </w:rPr>
                            <w:t xml:space="preserve"> —</w:t>
                          </w:r>
                        </w:p>
                        <w:p>
                          <w:pPr>
                            <w:pStyle w:val="7"/>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2pt;height:144pt;width:144pt;mso-position-horizontal:outside;mso-position-horizontal-relative:margin;mso-wrap-style:none;z-index:251658240;mso-width-relative:page;mso-height-relative:page;" filled="f" stroked="f" coordsize="21600,21600" o:gfxdata="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i/a761AAAAAgBAAAPAAAAAAAAAAEA&#10;IAAAACIAAABkcnMvZG93bnJldi54bWxQSwECFAAUAAAACACHTuJABdxysBMCAAATBAAADgAAAAAA&#10;AAABACAAAAAjAQAAZHJzL2Uyb0RvYy54bWxQSwUGAAAAAAYABgBZAQAAqAUAAAAA&#10;">
              <v:fill on="f" focussize="0,0"/>
              <v:stroke on="f" weight="0.5pt"/>
              <v:imagedata o:title=""/>
              <o:lock v:ext="edit" aspectratio="f"/>
              <v:textbox inset="0mm,0mm,0mm,0mm" style="mso-fit-shape-to-text:t;">
                <w:txbxContent>
                  <w:p>
                    <w:pPr>
                      <w:pStyle w:val="7"/>
                      <w:rPr>
                        <w:rFonts w:hint="eastAsia" w:eastAsia="仿宋_GB2312"/>
                        <w:strike w:val="0"/>
                        <w:u w:val="none"/>
                        <w:lang w:eastAsia="zh-CN"/>
                      </w:rPr>
                    </w:pPr>
                    <w:r>
                      <w:rPr>
                        <w:rFonts w:hint="eastAsia" w:ascii="宋体" w:hAnsi="宋体" w:eastAsia="宋体"/>
                        <w:color w:val="auto"/>
                        <w:sz w:val="28"/>
                        <w:szCs w:val="28"/>
                        <w:u w:val="none"/>
                      </w:rPr>
                      <w:t xml:space="preserve">— </w:t>
                    </w:r>
                    <w:r>
                      <w:rPr>
                        <w:rFonts w:ascii="宋体" w:hAnsi="宋体" w:eastAsia="宋体"/>
                        <w:color w:val="auto"/>
                        <w:sz w:val="28"/>
                        <w:szCs w:val="28"/>
                        <w:u w:val="none"/>
                      </w:rPr>
                      <w:fldChar w:fldCharType="begin"/>
                    </w:r>
                    <w:r>
                      <w:rPr>
                        <w:rFonts w:ascii="宋体" w:hAnsi="宋体" w:eastAsia="宋体"/>
                        <w:color w:val="auto"/>
                        <w:sz w:val="28"/>
                        <w:szCs w:val="28"/>
                        <w:u w:val="none"/>
                      </w:rPr>
                      <w:instrText xml:space="preserve">PAGE   \* MERGEFORMAT</w:instrText>
                    </w:r>
                    <w:r>
                      <w:rPr>
                        <w:rFonts w:ascii="宋体" w:hAnsi="宋体" w:eastAsia="宋体"/>
                        <w:color w:val="auto"/>
                        <w:sz w:val="28"/>
                        <w:szCs w:val="28"/>
                        <w:u w:val="none"/>
                      </w:rPr>
                      <w:fldChar w:fldCharType="separate"/>
                    </w:r>
                    <w:r>
                      <w:rPr>
                        <w:rFonts w:ascii="宋体" w:hAnsi="宋体" w:eastAsia="宋体"/>
                        <w:color w:val="auto"/>
                        <w:sz w:val="28"/>
                        <w:szCs w:val="28"/>
                        <w:u w:val="none"/>
                        <w:lang w:val="zh-CN"/>
                      </w:rPr>
                      <w:t>1</w:t>
                    </w:r>
                    <w:r>
                      <w:rPr>
                        <w:rFonts w:ascii="宋体" w:hAnsi="宋体" w:eastAsia="宋体"/>
                        <w:color w:val="auto"/>
                        <w:sz w:val="28"/>
                        <w:szCs w:val="28"/>
                        <w:u w:val="none"/>
                      </w:rPr>
                      <w:fldChar w:fldCharType="end"/>
                    </w:r>
                    <w:r>
                      <w:rPr>
                        <w:rFonts w:hint="eastAsia" w:ascii="宋体" w:hAnsi="宋体" w:eastAsia="宋体"/>
                        <w:color w:val="auto"/>
                        <w:sz w:val="28"/>
                        <w:szCs w:val="28"/>
                        <w:u w:val="none"/>
                      </w:rPr>
                      <w:t xml:space="preserve"> —</w:t>
                    </w:r>
                  </w:p>
                  <w:p>
                    <w:pPr>
                      <w:pStyle w:val="7"/>
                      <w:rPr>
                        <w:rFonts w:hint="eastAsia" w:eastAsia="宋体"/>
                        <w:lang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039DA9"/>
    <w:multiLevelType w:val="singleLevel"/>
    <w:tmpl w:val="AD039DA9"/>
    <w:lvl w:ilvl="0" w:tentative="0">
      <w:start w:val="1"/>
      <w:numFmt w:val="chineseCounting"/>
      <w:suff w:val="nothing"/>
      <w:lvlText w:val="（%1）"/>
      <w:lvlJc w:val="left"/>
      <w:rPr>
        <w:rFonts w:hint="eastAsia"/>
      </w:rPr>
    </w:lvl>
  </w:abstractNum>
  <w:abstractNum w:abstractNumId="1">
    <w:nsid w:val="D2AEA4A8"/>
    <w:multiLevelType w:val="singleLevel"/>
    <w:tmpl w:val="D2AEA4A8"/>
    <w:lvl w:ilvl="0" w:tentative="0">
      <w:start w:val="1"/>
      <w:numFmt w:val="chineseCounting"/>
      <w:suff w:val="space"/>
      <w:lvlText w:val="第%1章"/>
      <w:lvlJc w:val="left"/>
      <w:rPr>
        <w:rFonts w:hint="eastAsia"/>
      </w:rPr>
    </w:lvl>
  </w:abstractNum>
  <w:abstractNum w:abstractNumId="2">
    <w:nsid w:val="31D861EE"/>
    <w:multiLevelType w:val="singleLevel"/>
    <w:tmpl w:val="31D861EE"/>
    <w:lvl w:ilvl="0" w:tentative="0">
      <w:start w:val="1"/>
      <w:numFmt w:val="chineseCounting"/>
      <w:suff w:val="nothing"/>
      <w:lvlText w:val="（%1）"/>
      <w:lvlJc w:val="left"/>
      <w:rPr>
        <w:rFonts w:hint="eastAsia"/>
      </w:rPr>
    </w:lvl>
  </w:abstractNum>
  <w:abstractNum w:abstractNumId="3">
    <w:nsid w:val="45658662"/>
    <w:multiLevelType w:val="singleLevel"/>
    <w:tmpl w:val="45658662"/>
    <w:lvl w:ilvl="0" w:tentative="0">
      <w:start w:val="1"/>
      <w:numFmt w:val="chineseCounting"/>
      <w:suff w:val="nothing"/>
      <w:lvlText w:val="（%1）"/>
      <w:lvlJc w:val="left"/>
      <w:rPr>
        <w:rFonts w:hint="eastAsia"/>
      </w:rPr>
    </w:lvl>
  </w:abstractNum>
  <w:abstractNum w:abstractNumId="4">
    <w:nsid w:val="59496BC8"/>
    <w:multiLevelType w:val="singleLevel"/>
    <w:tmpl w:val="59496BC8"/>
    <w:lvl w:ilvl="0" w:tentative="0">
      <w:start w:val="19"/>
      <w:numFmt w:val="chineseCounting"/>
      <w:suff w:val="space"/>
      <w:lvlText w:val="第%1条"/>
      <w:lvlJc w:val="left"/>
      <w:rPr>
        <w:rFonts w:hint="eastAsia"/>
        <w:b/>
        <w:bCs/>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A40F8"/>
    <w:rsid w:val="00BA7841"/>
    <w:rsid w:val="01403411"/>
    <w:rsid w:val="01D34CDC"/>
    <w:rsid w:val="05F24DE1"/>
    <w:rsid w:val="069375D7"/>
    <w:rsid w:val="06B55198"/>
    <w:rsid w:val="07B54965"/>
    <w:rsid w:val="097A7FD3"/>
    <w:rsid w:val="0AB508CC"/>
    <w:rsid w:val="0B9E129E"/>
    <w:rsid w:val="0C175FAD"/>
    <w:rsid w:val="0C686768"/>
    <w:rsid w:val="0D43319B"/>
    <w:rsid w:val="0DC12675"/>
    <w:rsid w:val="0F7C6539"/>
    <w:rsid w:val="11CE710E"/>
    <w:rsid w:val="12D547F3"/>
    <w:rsid w:val="138C3145"/>
    <w:rsid w:val="14B2243D"/>
    <w:rsid w:val="14C7738C"/>
    <w:rsid w:val="14DC240F"/>
    <w:rsid w:val="165D2FEC"/>
    <w:rsid w:val="165F0C7D"/>
    <w:rsid w:val="1710316D"/>
    <w:rsid w:val="1B737A55"/>
    <w:rsid w:val="1B770817"/>
    <w:rsid w:val="1C0F4EF3"/>
    <w:rsid w:val="1C4C6376"/>
    <w:rsid w:val="1C993BFA"/>
    <w:rsid w:val="1D584F32"/>
    <w:rsid w:val="1D994440"/>
    <w:rsid w:val="1E2A6014"/>
    <w:rsid w:val="1FB04D64"/>
    <w:rsid w:val="1FD835C4"/>
    <w:rsid w:val="203B04ED"/>
    <w:rsid w:val="20694D91"/>
    <w:rsid w:val="20894A54"/>
    <w:rsid w:val="20A47AC9"/>
    <w:rsid w:val="22EF1630"/>
    <w:rsid w:val="23164323"/>
    <w:rsid w:val="238C13C9"/>
    <w:rsid w:val="23A831DC"/>
    <w:rsid w:val="247F281F"/>
    <w:rsid w:val="24EE3EEA"/>
    <w:rsid w:val="265D5C9A"/>
    <w:rsid w:val="2732249A"/>
    <w:rsid w:val="282D0942"/>
    <w:rsid w:val="283C09E7"/>
    <w:rsid w:val="2849353B"/>
    <w:rsid w:val="285C326E"/>
    <w:rsid w:val="28E3573D"/>
    <w:rsid w:val="29191EA6"/>
    <w:rsid w:val="29283896"/>
    <w:rsid w:val="29A806D1"/>
    <w:rsid w:val="2A2F389D"/>
    <w:rsid w:val="2A422AF5"/>
    <w:rsid w:val="2A5827CA"/>
    <w:rsid w:val="2ACD1247"/>
    <w:rsid w:val="2BB402A6"/>
    <w:rsid w:val="2C273A60"/>
    <w:rsid w:val="2D7157DF"/>
    <w:rsid w:val="2DA34005"/>
    <w:rsid w:val="2E3D4E93"/>
    <w:rsid w:val="2FFD410F"/>
    <w:rsid w:val="30221E79"/>
    <w:rsid w:val="30296445"/>
    <w:rsid w:val="30B40991"/>
    <w:rsid w:val="30C145B6"/>
    <w:rsid w:val="34CB5E37"/>
    <w:rsid w:val="36256EA7"/>
    <w:rsid w:val="36A24542"/>
    <w:rsid w:val="39030063"/>
    <w:rsid w:val="39D77035"/>
    <w:rsid w:val="3AF77784"/>
    <w:rsid w:val="3C931BC7"/>
    <w:rsid w:val="3CC840BA"/>
    <w:rsid w:val="3D6867EB"/>
    <w:rsid w:val="3DC71F72"/>
    <w:rsid w:val="3DD1395F"/>
    <w:rsid w:val="3E3D5ADC"/>
    <w:rsid w:val="3EA30101"/>
    <w:rsid w:val="3FC7675D"/>
    <w:rsid w:val="40585637"/>
    <w:rsid w:val="40D4249A"/>
    <w:rsid w:val="40D67922"/>
    <w:rsid w:val="42FE07C7"/>
    <w:rsid w:val="43364990"/>
    <w:rsid w:val="44DD36F5"/>
    <w:rsid w:val="46AB731F"/>
    <w:rsid w:val="46CD455E"/>
    <w:rsid w:val="480B28BF"/>
    <w:rsid w:val="49AC2DBF"/>
    <w:rsid w:val="4A474C35"/>
    <w:rsid w:val="4A900615"/>
    <w:rsid w:val="4ABA40F8"/>
    <w:rsid w:val="4B2A5E3B"/>
    <w:rsid w:val="4B450924"/>
    <w:rsid w:val="4B7758F7"/>
    <w:rsid w:val="4BF97102"/>
    <w:rsid w:val="4C527F6F"/>
    <w:rsid w:val="4C89484B"/>
    <w:rsid w:val="4D0922FC"/>
    <w:rsid w:val="4DDD3D68"/>
    <w:rsid w:val="4E065451"/>
    <w:rsid w:val="4F2D13D4"/>
    <w:rsid w:val="4FAF5111"/>
    <w:rsid w:val="50565F9A"/>
    <w:rsid w:val="505B0315"/>
    <w:rsid w:val="507526B3"/>
    <w:rsid w:val="50FC7A6B"/>
    <w:rsid w:val="50FE2865"/>
    <w:rsid w:val="51272EB1"/>
    <w:rsid w:val="52D27B05"/>
    <w:rsid w:val="52D946DE"/>
    <w:rsid w:val="54283898"/>
    <w:rsid w:val="544C1337"/>
    <w:rsid w:val="547B41E5"/>
    <w:rsid w:val="55B442A9"/>
    <w:rsid w:val="56BF7905"/>
    <w:rsid w:val="5825678F"/>
    <w:rsid w:val="59115122"/>
    <w:rsid w:val="59C503C4"/>
    <w:rsid w:val="59E6048B"/>
    <w:rsid w:val="5B8F0AF2"/>
    <w:rsid w:val="5C873366"/>
    <w:rsid w:val="5D5438E0"/>
    <w:rsid w:val="5E7C46C7"/>
    <w:rsid w:val="5EC13B49"/>
    <w:rsid w:val="5F143125"/>
    <w:rsid w:val="6017021D"/>
    <w:rsid w:val="603A0B17"/>
    <w:rsid w:val="607150B6"/>
    <w:rsid w:val="61C64CD9"/>
    <w:rsid w:val="623C60CA"/>
    <w:rsid w:val="630261E5"/>
    <w:rsid w:val="64FD2580"/>
    <w:rsid w:val="6576377F"/>
    <w:rsid w:val="65C418D5"/>
    <w:rsid w:val="66BC2003"/>
    <w:rsid w:val="6836619B"/>
    <w:rsid w:val="694B5520"/>
    <w:rsid w:val="6998091E"/>
    <w:rsid w:val="6A492BFA"/>
    <w:rsid w:val="6B62243D"/>
    <w:rsid w:val="6B972A77"/>
    <w:rsid w:val="6B9E408E"/>
    <w:rsid w:val="6D521646"/>
    <w:rsid w:val="6D72155E"/>
    <w:rsid w:val="6E5D69C5"/>
    <w:rsid w:val="6E9B0588"/>
    <w:rsid w:val="6F0C1BBE"/>
    <w:rsid w:val="6FBD4AA8"/>
    <w:rsid w:val="706732A6"/>
    <w:rsid w:val="71502F2C"/>
    <w:rsid w:val="7587080C"/>
    <w:rsid w:val="760A4E19"/>
    <w:rsid w:val="76496E5C"/>
    <w:rsid w:val="76D2275A"/>
    <w:rsid w:val="78A421A7"/>
    <w:rsid w:val="7B5E1E2D"/>
    <w:rsid w:val="7BD75A39"/>
    <w:rsid w:val="7D8E1743"/>
    <w:rsid w:val="7DE40569"/>
    <w:rsid w:val="7EE37497"/>
    <w:rsid w:val="B75F4D82"/>
    <w:rsid w:val="CA7DA5D0"/>
    <w:rsid w:val="FAFD9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eastAsia="宋体" w:asciiTheme="minorAscii" w:hAnsiTheme="minorAscii"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28"/>
      <w:sz w:val="48"/>
      <w:szCs w:val="48"/>
      <w:lang w:val="en-US" w:eastAsia="zh-CN" w:bidi="ar"/>
    </w:rPr>
  </w:style>
  <w:style w:type="paragraph" w:styleId="3">
    <w:name w:val="heading 2"/>
    <w:basedOn w:val="1"/>
    <w:next w:val="1"/>
    <w:link w:val="17"/>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18"/>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keepNext/>
      <w:keepLines/>
      <w:spacing w:before="280" w:beforeLines="0" w:beforeAutospacing="0" w:after="290" w:afterLines="0" w:afterAutospacing="0" w:line="240" w:lineRule="auto"/>
      <w:outlineLvl w:val="3"/>
    </w:pPr>
    <w:rPr>
      <w:rFonts w:ascii="Arial" w:hAnsi="Arial"/>
      <w:b/>
    </w:rPr>
  </w:style>
  <w:style w:type="character" w:default="1" w:styleId="13">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6">
    <w:name w:val="Body Text"/>
    <w:basedOn w:val="1"/>
    <w:semiHidden/>
    <w:qFormat/>
    <w:uiPriority w:val="0"/>
    <w:rPr>
      <w:rFonts w:ascii="仿宋" w:hAnsi="仿宋" w:eastAsia="仿宋" w:cs="仿宋"/>
      <w:sz w:val="33"/>
      <w:szCs w:val="33"/>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rPr>
  </w:style>
  <w:style w:type="paragraph" w:styleId="10">
    <w:name w:val="Normal (Web)"/>
    <w:basedOn w:val="1"/>
    <w:qFormat/>
    <w:uiPriority w:val="0"/>
    <w:rPr>
      <w:sz w:val="24"/>
    </w:rPr>
  </w:style>
  <w:style w:type="paragraph" w:styleId="11">
    <w:name w:val="Title"/>
    <w:qFormat/>
    <w:uiPriority w:val="0"/>
    <w:pPr>
      <w:spacing w:line="720" w:lineRule="exact"/>
      <w:jc w:val="center"/>
      <w:outlineLvl w:val="9"/>
    </w:pPr>
    <w:rPr>
      <w:rFonts w:ascii="方正公文小标宋" w:hAnsi="方正公文小标宋" w:eastAsia="方正公文小标宋" w:cs="方正公文小标宋"/>
      <w:sz w:val="44"/>
      <w:szCs w:val="44"/>
    </w:rPr>
  </w:style>
  <w:style w:type="character" w:styleId="14">
    <w:name w:val="Strong"/>
    <w:basedOn w:val="13"/>
    <w:qFormat/>
    <w:uiPriority w:val="0"/>
    <w:rPr>
      <w:b/>
    </w:rPr>
  </w:style>
  <w:style w:type="character" w:styleId="15">
    <w:name w:val="FollowedHyperlink"/>
    <w:basedOn w:val="13"/>
    <w:qFormat/>
    <w:uiPriority w:val="0"/>
    <w:rPr>
      <w:rFonts w:ascii="Times New Roman" w:hAnsi="Times New Roman" w:eastAsia="宋体"/>
      <w:color w:val="0000FF"/>
      <w:u w:val="none"/>
    </w:rPr>
  </w:style>
  <w:style w:type="character" w:styleId="16">
    <w:name w:val="footnote reference"/>
    <w:basedOn w:val="13"/>
    <w:qFormat/>
    <w:uiPriority w:val="0"/>
    <w:rPr>
      <w:vertAlign w:val="superscript"/>
    </w:rPr>
  </w:style>
  <w:style w:type="character" w:customStyle="1" w:styleId="17">
    <w:name w:val="标题 2 Char"/>
    <w:link w:val="3"/>
    <w:qFormat/>
    <w:uiPriority w:val="9"/>
    <w:rPr>
      <w:rFonts w:ascii="宋体" w:hAnsi="宋体" w:eastAsia="黑体" w:cs="宋体"/>
      <w:sz w:val="30"/>
    </w:rPr>
  </w:style>
  <w:style w:type="character" w:customStyle="1" w:styleId="18">
    <w:name w:val="标题 3 Char"/>
    <w:link w:val="4"/>
    <w:qFormat/>
    <w:uiPriority w:val="9"/>
    <w:rPr>
      <w:rFonts w:ascii="宋体" w:hAnsi="宋体" w:eastAsia="宋体" w:cs="宋体"/>
      <w:b/>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4154</Words>
  <Characters>4159</Characters>
  <Lines>0</Lines>
  <Paragraphs>0</Paragraphs>
  <TotalTime>52</TotalTime>
  <ScaleCrop>false</ScaleCrop>
  <LinksUpToDate>false</LinksUpToDate>
  <CharactersWithSpaces>4199</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2026-05-21T09:47:00Z</dcterms:created>
  <dc:creator>ω薄荷猫ω</dc:creator>
  <cp:lastModifiedBy>Administrator</cp:lastModifiedBy>
  <cp:lastPrinted>2026-10-15T07:19:21Z</cp:lastPrinted>
  <dcterms:modified xsi:type="dcterms:W3CDTF">2026-10-15T08:00:36Z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C4F33EDBFB004DE3917C9223E76B45B2_11</vt:lpwstr>
  </property>
  <property fmtid="{D5CDD505-2E9C-101B-9397-08002B2CF9AE}" pid="4" name="KSOTemplateDocerSaveRecord">
    <vt:lpwstr>eyJoZGlkIjoiOTQ3M2VmYWQ1MWM1YWQyMjk4Njc4MTU0MzRlMWQ5MWQiLCJ1c2VySWQiOiI0MjM2ODYxNzAifQ==</vt:lpwstr>
  </property>
</Properties>
</file>